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7572C" w14:textId="77777777" w:rsidR="00B73C16" w:rsidRDefault="00B73C16" w:rsidP="00B73C16">
      <w:pPr>
        <w:spacing w:after="16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LA TEORÍA LACANIANA DE LA PULSIÓN PERMITIRÍA HACER AVANZAR LA INVESTIGACIÓN SOBRE EL AUTISMO</w:t>
      </w:r>
      <w:r>
        <w:rPr>
          <w:rFonts w:ascii="Times New Roman" w:eastAsia="Times New Roman" w:hAnsi="Times New Roman" w:cs="Times New Roman"/>
          <w:b/>
          <w:bCs/>
          <w:sz w:val="24"/>
          <w:szCs w:val="24"/>
          <w:vertAlign w:val="superscript"/>
        </w:rPr>
        <w:footnoteReference w:id="1"/>
      </w:r>
    </w:p>
    <w:p w14:paraId="1D382AB9" w14:textId="77777777" w:rsidR="00B73C16" w:rsidRDefault="00B73C16" w:rsidP="00B73C16">
      <w:pPr>
        <w:spacing w:line="360" w:lineRule="auto"/>
        <w:ind w:firstLine="454"/>
        <w:jc w:val="right"/>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Marie-Christine </w:t>
      </w:r>
      <w:proofErr w:type="spellStart"/>
      <w:r>
        <w:rPr>
          <w:rFonts w:ascii="Times New Roman" w:eastAsia="Times New Roman" w:hAnsi="Times New Roman" w:cs="Times New Roman"/>
          <w:sz w:val="24"/>
          <w:szCs w:val="24"/>
        </w:rPr>
        <w:t>Laznik</w:t>
      </w:r>
      <w:proofErr w:type="spellEnd"/>
    </w:p>
    <w:p w14:paraId="0ECBB8BA" w14:textId="77777777" w:rsidR="00B73C16" w:rsidRDefault="00B73C16" w:rsidP="00B73C16">
      <w:pPr>
        <w:spacing w:line="360" w:lineRule="auto"/>
        <w:ind w:firstLine="454"/>
        <w:jc w:val="both"/>
        <w:rPr>
          <w:rFonts w:ascii="Times New Roman" w:eastAsia="Times New Roman" w:hAnsi="Times New Roman" w:cs="Times New Roman"/>
          <w:sz w:val="24"/>
          <w:szCs w:val="24"/>
        </w:rPr>
      </w:pPr>
    </w:p>
    <w:p w14:paraId="387A6FEB" w14:textId="77777777" w:rsidR="00B73C16" w:rsidRDefault="00B73C16" w:rsidP="00B73C16">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Introducción</w:t>
      </w:r>
    </w:p>
    <w:p w14:paraId="4C2454A0" w14:textId="77777777" w:rsidR="00B73C16" w:rsidRDefault="00B73C16" w:rsidP="00B73C1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trabajos sobre el autismo infantil fueron relegando progresivamente las observaciones y conceptos del psicoanálisis, dándole más interés a los modelos cognitivistas. Si bien estos modelos pueden a veces aclarar la clínica del niño, son menos operatorios para dar cuenta de los primeros tiempos de la vida del recién nacido, cuyos desafíos son decisivos para el conocimiento y el tratamiento del autismo. Marie-Christine </w:t>
      </w:r>
      <w:proofErr w:type="spellStart"/>
      <w:r>
        <w:rPr>
          <w:rFonts w:ascii="Times New Roman" w:eastAsia="Times New Roman" w:hAnsi="Times New Roman" w:cs="Times New Roman"/>
          <w:sz w:val="24"/>
          <w:szCs w:val="24"/>
        </w:rPr>
        <w:t>Laznik</w:t>
      </w:r>
      <w:proofErr w:type="spellEnd"/>
      <w:r>
        <w:rPr>
          <w:rFonts w:ascii="Times New Roman" w:eastAsia="Times New Roman" w:hAnsi="Times New Roman" w:cs="Times New Roman"/>
          <w:sz w:val="24"/>
          <w:szCs w:val="24"/>
        </w:rPr>
        <w:t xml:space="preserve"> muestra la importancia y el valor concreto, para los clínicos del autismo, del concepto freudiano de pulsión, tal como Jacques Lacan renovó su análisis.</w:t>
      </w:r>
    </w:p>
    <w:p w14:paraId="28CF5831" w14:textId="77777777" w:rsidR="00B73C16" w:rsidRDefault="00B73C16" w:rsidP="00B73C1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menudo se dice que la difusión de la obra de Lacan en el extranjero, sobre todo en los países anglosajones pero también en otros países europeos, fue tomado principalmente por los literarios, los médicos, y sobre todo </w:t>
      </w:r>
      <w:proofErr w:type="spellStart"/>
      <w:r>
        <w:rPr>
          <w:rFonts w:ascii="Times New Roman" w:eastAsia="Times New Roman" w:hAnsi="Times New Roman" w:cs="Times New Roman"/>
          <w:sz w:val="24"/>
          <w:szCs w:val="24"/>
        </w:rPr>
        <w:t>hospitalo</w:t>
      </w:r>
      <w:proofErr w:type="spellEnd"/>
      <w:r>
        <w:rPr>
          <w:rFonts w:ascii="Times New Roman" w:eastAsia="Times New Roman" w:hAnsi="Times New Roman" w:cs="Times New Roman"/>
          <w:sz w:val="24"/>
          <w:szCs w:val="24"/>
        </w:rPr>
        <w:t>-universitarios, no teniendo casi ningún contacto con la obra de Lacan</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 xml:space="preserve">. Es en este contexto que la situación actual de la investigación sobre el autismo merece ser apreciada. El punto de la investigación hospitalaria europea en psiquiatría infantil está hoy animada por un mismo ímpetu: encontrar los medios para detectar cuadros graves -como el autismo- antes de que el cuadro </w:t>
      </w:r>
      <w:proofErr w:type="spellStart"/>
      <w:r>
        <w:rPr>
          <w:rFonts w:ascii="Times New Roman" w:eastAsia="Times New Roman" w:hAnsi="Times New Roman" w:cs="Times New Roman"/>
          <w:sz w:val="24"/>
          <w:szCs w:val="24"/>
        </w:rPr>
        <w:t>nosográfico</w:t>
      </w:r>
      <w:proofErr w:type="spellEnd"/>
      <w:r>
        <w:rPr>
          <w:rFonts w:ascii="Times New Roman" w:eastAsia="Times New Roman" w:hAnsi="Times New Roman" w:cs="Times New Roman"/>
          <w:sz w:val="24"/>
          <w:szCs w:val="24"/>
        </w:rPr>
        <w:t xml:space="preserve"> se instale. Este objetivo es por supuesto elogiable cuando sabemos que hay muy probablemente una “psicosomática” del autismo</w:t>
      </w:r>
      <w:r>
        <w:rPr>
          <w:rFonts w:ascii="Times New Roman" w:eastAsia="Times New Roman" w:hAnsi="Times New Roman" w:cs="Times New Roman"/>
          <w:sz w:val="24"/>
          <w:szCs w:val="24"/>
          <w:vertAlign w:val="superscript"/>
        </w:rPr>
        <w:footnoteReference w:id="3"/>
      </w:r>
      <w:r>
        <w:rPr>
          <w:rFonts w:ascii="Times New Roman" w:eastAsia="Times New Roman" w:hAnsi="Times New Roman" w:cs="Times New Roman"/>
          <w:sz w:val="24"/>
          <w:szCs w:val="24"/>
        </w:rPr>
        <w:t>, en el sentido de que un no uso psíquico del aparato neuronal llevaría a enfermar al cuerpo. La hipótesis, más o menos implícita, que sostiene este avance más precoz, es que habría algún medio de poner en marcha</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estructuras en vías de constitución</w:t>
      </w:r>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 xml:space="preserve">. Esto da cuenta hasta qué punto, con estas patologías, estamos luchando contra el reloj. </w:t>
      </w:r>
    </w:p>
    <w:p w14:paraId="35771004" w14:textId="77777777" w:rsidR="00B73C16" w:rsidRDefault="00B73C16" w:rsidP="00B73C1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 que podemos subrayar, sin embargo, es la constancia con la cual todos los modelos psicoanalíticos de comprensión del funcionamiento psíquico del bebé fueron sistemáticamente </w:t>
      </w:r>
      <w:r>
        <w:rPr>
          <w:rFonts w:ascii="Times New Roman" w:eastAsia="Times New Roman" w:hAnsi="Times New Roman" w:cs="Times New Roman"/>
          <w:sz w:val="24"/>
          <w:szCs w:val="24"/>
        </w:rPr>
        <w:lastRenderedPageBreak/>
        <w:t>abandonados a favor de los modelos cognitivistas: no solamente por parte de los grandes catedráticos,</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sino también por parte de los clínicos investigadores que, en otros momentos del día, son clínicos del psicoanálisis. </w:t>
      </w:r>
    </w:p>
    <w:p w14:paraId="33AE367B" w14:textId="77777777" w:rsidR="00B73C16" w:rsidRDefault="00B73C16" w:rsidP="00B73C1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escuela anglosajona puso especial interés en la clínica de los trastornos precoces como el autismo, sobre todo Frances </w:t>
      </w:r>
      <w:proofErr w:type="spellStart"/>
      <w:r>
        <w:rPr>
          <w:rFonts w:ascii="Times New Roman" w:eastAsia="Times New Roman" w:hAnsi="Times New Roman" w:cs="Times New Roman"/>
          <w:sz w:val="24"/>
          <w:szCs w:val="24"/>
        </w:rPr>
        <w:t>Tustin</w:t>
      </w:r>
      <w:proofErr w:type="spellEnd"/>
      <w:r>
        <w:rPr>
          <w:rFonts w:ascii="Times New Roman" w:eastAsia="Times New Roman" w:hAnsi="Times New Roman" w:cs="Times New Roman"/>
          <w:sz w:val="24"/>
          <w:szCs w:val="24"/>
        </w:rPr>
        <w:t xml:space="preserve"> y Donald </w:t>
      </w:r>
      <w:proofErr w:type="spellStart"/>
      <w:r>
        <w:rPr>
          <w:rFonts w:ascii="Times New Roman" w:eastAsia="Times New Roman" w:hAnsi="Times New Roman" w:cs="Times New Roman"/>
          <w:sz w:val="24"/>
          <w:szCs w:val="24"/>
        </w:rPr>
        <w:t>Meltzer</w:t>
      </w:r>
      <w:proofErr w:type="spellEnd"/>
      <w:r>
        <w:rPr>
          <w:rFonts w:ascii="Times New Roman" w:eastAsia="Times New Roman" w:hAnsi="Times New Roman" w:cs="Times New Roman"/>
          <w:sz w:val="24"/>
          <w:szCs w:val="24"/>
        </w:rPr>
        <w:t>. Ellos proponen modelos con imágenes muy seductoras, que permiten a sus alumnos sostenerse en la cura con niños autistas. Una parte de las investigaciones actuales consiste en el desciframiento de los “videos familiares” de estos niños cuando eran bebés</w:t>
      </w:r>
      <w:r>
        <w:rPr>
          <w:rFonts w:ascii="Times New Roman" w:eastAsia="Times New Roman" w:hAnsi="Times New Roman" w:cs="Times New Roman"/>
          <w:sz w:val="24"/>
          <w:szCs w:val="24"/>
          <w:vertAlign w:val="superscript"/>
        </w:rPr>
        <w:footnoteReference w:id="5"/>
      </w:r>
      <w:r>
        <w:rPr>
          <w:rFonts w:ascii="Times New Roman" w:eastAsia="Times New Roman" w:hAnsi="Times New Roman" w:cs="Times New Roman"/>
          <w:sz w:val="24"/>
          <w:szCs w:val="24"/>
        </w:rPr>
        <w:t>, la pregunta planteada, era saber si hubiera sido posible a partir de diálogos o de modos de relacionarse con sus padres,</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identificar signos precursores de la patología a advenir. Pero entonces, esos mismos alumnos de los anglosajones no encuentran, en sus referentes psicoanalíticos, herramientas útiles que les permitan leer esos videos</w:t>
      </w:r>
      <w:r>
        <w:rPr>
          <w:rFonts w:ascii="Times New Roman" w:eastAsia="Times New Roman" w:hAnsi="Times New Roman" w:cs="Times New Roman"/>
          <w:sz w:val="24"/>
          <w:szCs w:val="24"/>
          <w:vertAlign w:val="superscript"/>
        </w:rPr>
        <w:footnoteReference w:id="6"/>
      </w:r>
      <w:r>
        <w:rPr>
          <w:rFonts w:ascii="Times New Roman" w:eastAsia="Times New Roman" w:hAnsi="Times New Roman" w:cs="Times New Roman"/>
          <w:sz w:val="24"/>
          <w:szCs w:val="24"/>
        </w:rPr>
        <w:t>. Para ello están obligados a referirse a modelos no analíticos. Sin embargo, el problema es que el modelo cognitivista</w:t>
      </w:r>
      <w:r>
        <w:rPr>
          <w:rFonts w:ascii="Times New Roman" w:eastAsia="Times New Roman" w:hAnsi="Times New Roman" w:cs="Times New Roman"/>
          <w:sz w:val="24"/>
          <w:szCs w:val="24"/>
          <w:vertAlign w:val="superscript"/>
        </w:rPr>
        <w:footnoteReference w:id="7"/>
      </w:r>
      <w:r>
        <w:rPr>
          <w:rFonts w:ascii="Times New Roman" w:eastAsia="Times New Roman" w:hAnsi="Times New Roman" w:cs="Times New Roman"/>
          <w:sz w:val="24"/>
          <w:szCs w:val="24"/>
        </w:rPr>
        <w:t xml:space="preserve">, que puede ser muy práctico para dar cuenta de la clínica de los niños alrededor de los 18 meses, lo es mucho menos cuando se trata de bebés recién nacidos. En la clínica pre especular los procesos de cognición son mucho más incipientes. </w:t>
      </w:r>
    </w:p>
    <w:p w14:paraId="3D6CDC08" w14:textId="77777777" w:rsidR="00B73C16" w:rsidRDefault="00B73C16" w:rsidP="00B73C1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Ahora bien, nos parece posible tomar de la metapsicología de Lacan herramientas que permiten leer lo que se juega en los primeros tiempos. Estos conceptos parecen permitir una lectura de los primeros fracasos estructurales, de manera clara, más precozmente que los modelos actuales disponibles. Investigaciones actualmente en curso, deben en los próximos años, dar cuenta del valor “científico” de tales herramientas. Si ellas se demuestran positivas, un homenaje suplementario, deberá ser rendido a la clarividencia y al rigor de la obra de Lacan, capaz de responder a estos nuevos desafíos de la clínica.</w:t>
      </w:r>
    </w:p>
    <w:p w14:paraId="14420676" w14:textId="77777777" w:rsidR="00B73C16" w:rsidRDefault="00B73C16" w:rsidP="00B73C16">
      <w:pPr>
        <w:spacing w:line="360" w:lineRule="auto"/>
        <w:jc w:val="both"/>
        <w:rPr>
          <w:rFonts w:ascii="Times New Roman" w:eastAsia="Times New Roman" w:hAnsi="Times New Roman" w:cs="Times New Roman"/>
          <w:b/>
          <w:bCs/>
          <w:sz w:val="24"/>
          <w:szCs w:val="24"/>
        </w:rPr>
      </w:pPr>
    </w:p>
    <w:p w14:paraId="43FE9164" w14:textId="77777777" w:rsidR="00B73C16" w:rsidRDefault="00B73C16" w:rsidP="00B73C1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Un proyecto de investigación basado en conceptos lacanianos</w:t>
      </w:r>
      <w:r>
        <w:rPr>
          <w:rFonts w:ascii="Times New Roman" w:eastAsia="Times New Roman" w:hAnsi="Times New Roman" w:cs="Times New Roman"/>
          <w:b/>
          <w:bCs/>
          <w:sz w:val="24"/>
          <w:szCs w:val="24"/>
          <w:vertAlign w:val="superscript"/>
        </w:rPr>
        <w:footnoteReference w:id="8"/>
      </w:r>
    </w:p>
    <w:p w14:paraId="181C8FD5" w14:textId="77777777" w:rsidR="00B73C16" w:rsidRDefault="00B73C16" w:rsidP="00B73C1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 largo trabajo clínico-teórico llegó a la hipótesis siguiente: la patología autística primaria en un niño resultaría de la no instalación del “circuito pulsional completo” por el hecho de la ausencia del tercer tiempo. </w:t>
      </w:r>
    </w:p>
    <w:p w14:paraId="1AC6A471" w14:textId="77777777" w:rsidR="00B73C16" w:rsidRDefault="00B73C16" w:rsidP="00B73C1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Es el tiempo en donde el futuro sujeto –el bebé- se hace objeto de otro sujeto</w:t>
      </w:r>
      <w:r>
        <w:rPr>
          <w:rFonts w:ascii="Times New Roman" w:eastAsia="Times New Roman" w:hAnsi="Times New Roman" w:cs="Times New Roman"/>
          <w:sz w:val="24"/>
          <w:szCs w:val="24"/>
          <w:vertAlign w:val="superscript"/>
        </w:rPr>
        <w:footnoteReference w:id="9"/>
      </w:r>
      <w:r>
        <w:rPr>
          <w:rFonts w:ascii="Times New Roman" w:eastAsia="Times New Roman" w:hAnsi="Times New Roman" w:cs="Times New Roman"/>
          <w:sz w:val="24"/>
          <w:szCs w:val="24"/>
        </w:rPr>
        <w:t>. Antes de explicitar cada uno de los términos del circuito pulsional, vemos que el lazo al otro (y al Otro) es central. Actualmente hay un consenso para decir que el autismo es una patología del lazo al otro, cualquiera sea el modelo etiológico al que nos refiramos: psicoanalítico, cognitivo o biológico.</w:t>
      </w:r>
    </w:p>
    <w:p w14:paraId="519F3028" w14:textId="77777777" w:rsidR="00B73C16" w:rsidRDefault="00B73C16" w:rsidP="00B73C16">
      <w:pPr>
        <w:spacing w:line="360" w:lineRule="auto"/>
        <w:ind w:firstLine="454"/>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Solo Lacan puso de relieve este tercer tiempo. La hipótesis enunciada no puede concebirse más que en el </w:t>
      </w:r>
      <w:proofErr w:type="spellStart"/>
      <w:r>
        <w:rPr>
          <w:rFonts w:ascii="Times New Roman" w:eastAsia="Times New Roman" w:hAnsi="Times New Roman" w:cs="Times New Roman"/>
          <w:i/>
          <w:iCs/>
          <w:sz w:val="24"/>
          <w:szCs w:val="24"/>
        </w:rPr>
        <w:t>après-coup</w:t>
      </w:r>
      <w:proofErr w:type="spellEnd"/>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del trabajo de Lacan sobre la teoría de la pulsión, tal cual se encuentra en </w:t>
      </w:r>
      <w:r>
        <w:rPr>
          <w:rFonts w:ascii="Times New Roman" w:eastAsia="Times New Roman" w:hAnsi="Times New Roman" w:cs="Times New Roman"/>
          <w:i/>
          <w:iCs/>
          <w:sz w:val="24"/>
          <w:szCs w:val="24"/>
        </w:rPr>
        <w:t>El</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Seminario XI: Los cuatro conceptos fundamentales del psicoanálisis.</w:t>
      </w:r>
      <w:r>
        <w:rPr>
          <w:rFonts w:ascii="Times New Roman" w:eastAsia="Times New Roman" w:hAnsi="Times New Roman" w:cs="Times New Roman"/>
          <w:i/>
          <w:iCs/>
          <w:sz w:val="24"/>
          <w:szCs w:val="24"/>
          <w:vertAlign w:val="superscript"/>
        </w:rPr>
        <w:footnoteReference w:id="10"/>
      </w:r>
    </w:p>
    <w:p w14:paraId="630755B5" w14:textId="77777777" w:rsidR="00B73C16" w:rsidRDefault="00B73C16" w:rsidP="00B73C1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Antes de exponer lo que hay que llamar legítimamente una “teoría lacaniana de la pulsión”, en la cual se basa toda esta construcción, veamos en qué, esta hipótesis muy audaz, es innovadora y en qué –si se encuentra confirmada por los datos de la investigación-</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puede tener consecuencias muy importantes en salud pública. </w:t>
      </w:r>
    </w:p>
    <w:p w14:paraId="2B6FDF2A" w14:textId="77777777" w:rsidR="00B73C16" w:rsidRDefault="00B73C16" w:rsidP="00B73C1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Primero, esta hipótesis, si bien es metapsicológica, no toma partido por ninguna etiología. La oposición entre los que defienden la pura psicogénesis y los que defienden la organogénesis se mostró absolutamente estéril. Cualesquiera sean las causas, el autismo es un fracaso o una falla en el establecimiento del lazo pulsional al Otro sin el cual ningún sujeto puede advenir. El rol clínico del analista será entonces intentar poner en ruta ese lazo.</w:t>
      </w:r>
      <w:r>
        <w:rPr>
          <w:rFonts w:ascii="Times New Roman" w:eastAsia="Times New Roman" w:hAnsi="Times New Roman" w:cs="Times New Roman"/>
          <w:sz w:val="24"/>
          <w:szCs w:val="24"/>
          <w:vertAlign w:val="superscript"/>
        </w:rPr>
        <w:footnoteReference w:id="11"/>
      </w:r>
    </w:p>
    <w:p w14:paraId="7DD12300" w14:textId="77777777" w:rsidR="00B73C16" w:rsidRDefault="00B73C16" w:rsidP="00B73C1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Luego, lo que se da como manifiesto de este tercer tiempo del circuito pulsional se traduce en hechos observables clínicamente, que pueden ser enseñados a los médicos de la primera infancia</w:t>
      </w:r>
      <w:r>
        <w:rPr>
          <w:rFonts w:ascii="Times New Roman" w:eastAsia="Times New Roman" w:hAnsi="Times New Roman" w:cs="Times New Roman"/>
          <w:sz w:val="24"/>
          <w:szCs w:val="24"/>
          <w:vertAlign w:val="superscript"/>
        </w:rPr>
        <w:footnoteReference w:id="12"/>
      </w:r>
      <w:r>
        <w:rPr>
          <w:rFonts w:ascii="Times New Roman" w:eastAsia="Times New Roman" w:hAnsi="Times New Roman" w:cs="Times New Roman"/>
          <w:sz w:val="24"/>
          <w:szCs w:val="24"/>
        </w:rPr>
        <w:t xml:space="preserve">. No se trata de simples signos, sino de elementos clínicos que hacen parte de un conjunto metapsicológico coherente, que tienen relación con las condiciones de constitución de todo sujeto humano y al cual el clínico tiene que poder ser sensibilizado. </w:t>
      </w:r>
    </w:p>
    <w:p w14:paraId="5B38A18C" w14:textId="77777777" w:rsidR="00B73C16" w:rsidRDefault="00B73C16" w:rsidP="00B73C1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podemos abordar en la capacitación de los pediatras toda la metapsicología lacaniana sobre la constitución del sujeto. Nos limitamos a recordar lo que permite fundamentar la hipótesis específica en juego en la aparición de la patología autística: el fracaso del circuito pulsional en tres tiempos. </w:t>
      </w:r>
    </w:p>
    <w:p w14:paraId="269A5D17" w14:textId="77777777" w:rsidR="00B73C16" w:rsidRDefault="00B73C16" w:rsidP="00B73C1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La relación entre el bebé y el Otro va a constituirse en tres registros, las pulsiones </w:t>
      </w:r>
      <w:proofErr w:type="spellStart"/>
      <w:r>
        <w:rPr>
          <w:rFonts w:ascii="Times New Roman" w:eastAsia="Times New Roman" w:hAnsi="Times New Roman" w:cs="Times New Roman"/>
          <w:sz w:val="24"/>
          <w:szCs w:val="24"/>
        </w:rPr>
        <w:t>invocante</w:t>
      </w:r>
      <w:proofErr w:type="spellEnd"/>
      <w:r>
        <w:rPr>
          <w:rFonts w:ascii="Times New Roman" w:eastAsia="Times New Roman" w:hAnsi="Times New Roman" w:cs="Times New Roman"/>
          <w:sz w:val="24"/>
          <w:szCs w:val="24"/>
          <w:vertAlign w:val="superscript"/>
        </w:rPr>
        <w:footnoteReference w:id="13"/>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escópica</w:t>
      </w:r>
      <w:proofErr w:type="spellEnd"/>
      <w:r>
        <w:rPr>
          <w:rFonts w:ascii="Times New Roman" w:eastAsia="Times New Roman" w:hAnsi="Times New Roman" w:cs="Times New Roman"/>
          <w:sz w:val="24"/>
          <w:szCs w:val="24"/>
        </w:rPr>
        <w:t xml:space="preserve"> y oral. Pero primero, ¿qué tenemos que entender por pulsión?</w:t>
      </w:r>
      <w:r>
        <w:rPr>
          <w:rFonts w:ascii="Times New Roman" w:eastAsia="Times New Roman" w:hAnsi="Times New Roman" w:cs="Times New Roman"/>
          <w:sz w:val="24"/>
          <w:szCs w:val="24"/>
        </w:rPr>
        <w:br/>
      </w:r>
    </w:p>
    <w:p w14:paraId="0AF1FE0C" w14:textId="77777777" w:rsidR="00B73C16" w:rsidRDefault="00B73C16" w:rsidP="00B73C16">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Una teoría lacaniana de la pulsión</w:t>
      </w:r>
    </w:p>
    <w:p w14:paraId="00ABB8CD" w14:textId="77777777" w:rsidR="00B73C16" w:rsidRDefault="00B73C16" w:rsidP="00B73C1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w:t>
      </w:r>
      <w:r>
        <w:rPr>
          <w:rFonts w:ascii="Times New Roman" w:eastAsia="Times New Roman" w:hAnsi="Times New Roman" w:cs="Times New Roman"/>
          <w:i/>
          <w:iCs/>
          <w:sz w:val="24"/>
          <w:szCs w:val="24"/>
        </w:rPr>
        <w:t>El Seminario XI: Los cuatro conceptos fundamentales del psicoanálisis</w:t>
      </w:r>
      <w:r>
        <w:rPr>
          <w:rFonts w:ascii="Times New Roman" w:eastAsia="Times New Roman" w:hAnsi="Times New Roman" w:cs="Times New Roman"/>
          <w:sz w:val="24"/>
          <w:szCs w:val="24"/>
        </w:rPr>
        <w:t>, Lacan retoma largamente el artículo de Sigmund Freud “Pulsiones y destinos de pulsión”</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Se trata de una relectura de la primera teoría de las pulsiones a la luz de la segunda. No solamente Lacan vuelve, de manera esclarecedora, sobre ciertas proposiciones ya implícitas en la obra de Freud, sino que propone nuevos avances en lo que concierne a la pulsión</w:t>
      </w:r>
      <w:r>
        <w:rPr>
          <w:rFonts w:ascii="Times New Roman" w:eastAsia="Times New Roman" w:hAnsi="Times New Roman" w:cs="Times New Roman"/>
          <w:sz w:val="24"/>
          <w:szCs w:val="24"/>
          <w:vertAlign w:val="superscript"/>
        </w:rPr>
        <w:footnoteReference w:id="14"/>
      </w:r>
      <w:r>
        <w:rPr>
          <w:rFonts w:ascii="Times New Roman" w:eastAsia="Times New Roman" w:hAnsi="Times New Roman" w:cs="Times New Roman"/>
          <w:sz w:val="24"/>
          <w:szCs w:val="24"/>
        </w:rPr>
        <w:t xml:space="preserve">. </w:t>
      </w:r>
    </w:p>
    <w:p w14:paraId="56DD4AEA" w14:textId="77777777" w:rsidR="00B73C16" w:rsidRDefault="00B73C16" w:rsidP="00B73C1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Recordemos para empezar los puntos en los que Lacan se hace lector de Freud y lo hace con tal rigor que su lectura es admitida en Francia por muchos analistas, incluso aquellos que no siguen su enseñanza.</w:t>
      </w:r>
    </w:p>
    <w:p w14:paraId="028FE6ED" w14:textId="77777777" w:rsidR="00B73C16" w:rsidRDefault="00B73C16" w:rsidP="00B73C1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Lacan comienza por abordar uno de los puntos de contradicción mayores en el texto freudiano: el de la confusión posible entre el registro de la pulsión y el registro de la necesidad vital.</w:t>
      </w:r>
    </w:p>
    <w:p w14:paraId="659AD0F6" w14:textId="77777777" w:rsidR="00B73C16" w:rsidRDefault="00B73C16" w:rsidP="00B73C16">
      <w:pPr>
        <w:spacing w:line="360" w:lineRule="auto"/>
        <w:jc w:val="both"/>
        <w:rPr>
          <w:rFonts w:ascii="Times New Roman" w:eastAsia="Times New Roman" w:hAnsi="Times New Roman" w:cs="Times New Roman"/>
          <w:i/>
          <w:iCs/>
          <w:sz w:val="24"/>
          <w:szCs w:val="24"/>
        </w:rPr>
      </w:pPr>
    </w:p>
    <w:p w14:paraId="7F4F566A" w14:textId="77777777" w:rsidR="00B73C16" w:rsidRDefault="00B73C16" w:rsidP="00B73C16">
      <w:pPr>
        <w:spacing w:line="360" w:lineRule="auto"/>
        <w:ind w:firstLine="454"/>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Separar pulsión y necesidad</w:t>
      </w:r>
    </w:p>
    <w:p w14:paraId="21B32AAE" w14:textId="77777777" w:rsidR="00B73C16" w:rsidRDefault="00B73C16" w:rsidP="00B73C1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1915, Freud crea el concepto de pulsión, pero aclara que dicho concepto va a sufrir modificaciones. La pulsión sería el representante psíquico de las excitaciones nacidas en el interior del cuerpo. Comprendemos entonces que Freud da como ejemplo el hambre y la sed. Lacan tiene la audacia de mostrar que el hilo que lleva a Freud a elaborar su concepto es otro: “¿De lo que se trata en la pulsión es del registro orgánico?” (p.148).</w:t>
      </w:r>
    </w:p>
    <w:p w14:paraId="71790696" w14:textId="77777777" w:rsidR="00B73C16" w:rsidRDefault="00B73C16" w:rsidP="00B73C1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“Tenemos, para explicarlo, la noción de necesidad tal cual se manifiesta en el organismo a niveles diversos y primero a nivel del hambre y la sed. ¡Pues bien!, que sea dicho que Freud propone de la manera más formal que no se trata para nada en la </w:t>
      </w:r>
      <w:proofErr w:type="spellStart"/>
      <w:r>
        <w:rPr>
          <w:rFonts w:ascii="Times New Roman" w:eastAsia="Times New Roman" w:hAnsi="Times New Roman" w:cs="Times New Roman"/>
          <w:i/>
          <w:iCs/>
          <w:sz w:val="24"/>
          <w:szCs w:val="24"/>
        </w:rPr>
        <w:t>Trieb</w:t>
      </w:r>
      <w:proofErr w:type="spellEnd"/>
      <w:r>
        <w:rPr>
          <w:rFonts w:ascii="Times New Roman" w:eastAsia="Times New Roman" w:hAnsi="Times New Roman" w:cs="Times New Roman"/>
          <w:sz w:val="24"/>
          <w:szCs w:val="24"/>
        </w:rPr>
        <w:t xml:space="preserve"> de la imperiosidad de la necesidad como en la del </w:t>
      </w:r>
      <w:proofErr w:type="spellStart"/>
      <w:r>
        <w:rPr>
          <w:rFonts w:ascii="Times New Roman" w:eastAsia="Times New Roman" w:hAnsi="Times New Roman" w:cs="Times New Roman"/>
          <w:i/>
          <w:iCs/>
          <w:sz w:val="24"/>
          <w:szCs w:val="24"/>
        </w:rPr>
        <w:t>Hunger</w:t>
      </w:r>
      <w:proofErr w:type="spellEnd"/>
      <w:r>
        <w:rPr>
          <w:rFonts w:ascii="Times New Roman" w:eastAsia="Times New Roman" w:hAnsi="Times New Roman" w:cs="Times New Roman"/>
          <w:sz w:val="24"/>
          <w:szCs w:val="24"/>
        </w:rPr>
        <w:t>, el hambre, o de la</w:t>
      </w:r>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Durst</w:t>
      </w:r>
      <w:proofErr w:type="spellEnd"/>
      <w:r>
        <w:rPr>
          <w:rFonts w:ascii="Times New Roman" w:eastAsia="Times New Roman" w:hAnsi="Times New Roman" w:cs="Times New Roman"/>
          <w:sz w:val="24"/>
          <w:szCs w:val="24"/>
        </w:rPr>
        <w:t xml:space="preserve">, la sed” (p. 149). </w:t>
      </w:r>
    </w:p>
    <w:p w14:paraId="4AFE9D3B" w14:textId="77777777" w:rsidR="00B73C16" w:rsidRDefault="00B73C16" w:rsidP="00B73C1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la </w:t>
      </w:r>
      <w:proofErr w:type="spellStart"/>
      <w:r>
        <w:rPr>
          <w:rFonts w:ascii="Times New Roman" w:eastAsia="Times New Roman" w:hAnsi="Times New Roman" w:cs="Times New Roman"/>
          <w:i/>
          <w:iCs/>
          <w:sz w:val="24"/>
          <w:szCs w:val="24"/>
        </w:rPr>
        <w:t>Trieb</w:t>
      </w:r>
      <w:proofErr w:type="spellEnd"/>
      <w:r>
        <w:rPr>
          <w:rFonts w:ascii="Times New Roman" w:eastAsia="Times New Roman" w:hAnsi="Times New Roman" w:cs="Times New Roman"/>
          <w:sz w:val="24"/>
          <w:szCs w:val="24"/>
        </w:rPr>
        <w:t>, no se trata del organismo en su totalidad. ¿Le concierne lo vivo?</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No”. </w:t>
      </w:r>
    </w:p>
    <w:p w14:paraId="24E2BA46" w14:textId="77777777" w:rsidR="00B73C16" w:rsidRDefault="00B73C16" w:rsidP="00B73C1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distanciamiento que Lacan opera no solamente tiene un interés conceptual, tiene consecuencias en la clínica. Es este distanciamiento el que permite tener como recurso el concepto de “fracaso de la instalación del circuito pulsional” en trastornos como el autismo, </w:t>
      </w:r>
      <w:r>
        <w:rPr>
          <w:rFonts w:ascii="Times New Roman" w:eastAsia="Times New Roman" w:hAnsi="Times New Roman" w:cs="Times New Roman"/>
          <w:sz w:val="24"/>
          <w:szCs w:val="24"/>
        </w:rPr>
        <w:lastRenderedPageBreak/>
        <w:t>sin que pueda ser contradicho por el hecho de decir que, si hay vida, entonces es que la pulsión está funcionando.</w:t>
      </w:r>
      <w:r>
        <w:rPr>
          <w:rFonts w:ascii="Times New Roman" w:eastAsia="Times New Roman" w:hAnsi="Times New Roman" w:cs="Times New Roman"/>
          <w:sz w:val="24"/>
          <w:szCs w:val="24"/>
          <w:vertAlign w:val="superscript"/>
        </w:rPr>
        <w:footnoteReference w:id="15"/>
      </w:r>
    </w:p>
    <w:p w14:paraId="2910E11A" w14:textId="77777777" w:rsidR="00B73C16" w:rsidRDefault="00B73C16" w:rsidP="00B73C1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Lacan examina con el mismo rigor los cuatro componentes de la pulsión: el empuje, el fin, el objeto y la fuente. </w:t>
      </w:r>
    </w:p>
    <w:p w14:paraId="07987BD7" w14:textId="77777777" w:rsidR="00B73C16" w:rsidRDefault="00B73C16" w:rsidP="00B73C1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empuje es caracterizado por ser una fuerza constante: “La constancia del empuje prohíbe toda asimilación de la pulsión a una función biológica, la cual tiene siempre un ritmo. La pulsión ni sube ni baja, es una fuerza constante” (p.150). Son esta clase de indicadores, los que le permiten</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a un médico pediatra identificar que no todo va necesariamente bien en un bebé, incluso si sus funciones biológicas tienen un ritmo adecuado. </w:t>
      </w:r>
    </w:p>
    <w:p w14:paraId="7FD38EF7" w14:textId="77777777" w:rsidR="00B73C16" w:rsidRDefault="00B73C16" w:rsidP="00B73C16">
      <w:pPr>
        <w:spacing w:line="360" w:lineRule="auto"/>
        <w:ind w:firstLine="454"/>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El objetivo de la pulsión es alcanzar la satisfacción, lo cual consiste en cerrar un circuito que tiene tres tiempos. Se trata, para la pulsión, de cumplir un cierto recorrido. Ese recorrido es el que le interesa a Lacan en la noción de satisfacción , que lo lleva a separar radicalmente la satisfacción pulsional de una necesidad orgánica: “Ningún objeto de la necesidad puede satisfacer la pulsión. La boca que se abre en el registro de la pulsión, no es de comida que se satisface”.</w:t>
      </w:r>
      <w:r>
        <w:rPr>
          <w:rFonts w:ascii="Times New Roman" w:eastAsia="Times New Roman" w:hAnsi="Times New Roman" w:cs="Times New Roman"/>
          <w:sz w:val="24"/>
          <w:szCs w:val="24"/>
          <w:vertAlign w:val="superscript"/>
        </w:rPr>
        <w:footnoteReference w:id="16"/>
      </w:r>
    </w:p>
    <w:p w14:paraId="72208BD8" w14:textId="77777777" w:rsidR="00B73C16" w:rsidRDefault="00B73C16" w:rsidP="00B73C1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Lacan introduce la noción de objeto </w:t>
      </w:r>
      <w:r>
        <w:rPr>
          <w:rFonts w:ascii="Times New Roman" w:eastAsia="Times New Roman" w:hAnsi="Times New Roman" w:cs="Times New Roman"/>
          <w:i/>
          <w:iCs/>
          <w:sz w:val="24"/>
          <w:szCs w:val="24"/>
        </w:rPr>
        <w:t>a</w:t>
      </w:r>
      <w:r>
        <w:rPr>
          <w:rFonts w:ascii="Times New Roman" w:eastAsia="Times New Roman" w:hAnsi="Times New Roman" w:cs="Times New Roman"/>
          <w:sz w:val="24"/>
          <w:szCs w:val="24"/>
        </w:rPr>
        <w:t xml:space="preserve">, objeto causa del deseo. A los dos objetos habituales de Freud: seno, heces, agrega la mirada y la voz. Estos dos últimos tienen un valor fundamental en la clínica del bebé, la pulsión anal todavía no entró en juego. En cuanto al pecho, está muy marcado por su valor de objeto de la satisfacción de la necesidad alimentaria, pero nosotros veremos cuánto de la satisfacción de la pulsión oral es de otro registro: ella también está implicada en el bucle de un recorrido de tres tiempos. </w:t>
      </w:r>
    </w:p>
    <w:p w14:paraId="65A1CFE2" w14:textId="77777777" w:rsidR="00B73C16" w:rsidRDefault="00B73C16" w:rsidP="00B73C1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último, en lo que concierne a la fuente, Lacan precisa que “las zonas erógenas no son cualquier parte del cuerpo, sino aquellas que se diferencian por su estructura de borde”. Y agrega: “La boca y no el estómago” (p. 154). Esto toma toda su importancia clínica cuando recordamos hasta qué punto en los niños autistas, estas zonas no hacen borde -los labios que dejan salir la saliva, los esfínteres que no se cierran-</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por no ser zonas de investidura erógena, es decir por no ser tomadas dentro del circuito pulsional. </w:t>
      </w:r>
    </w:p>
    <w:p w14:paraId="0BB0F908" w14:textId="77777777" w:rsidR="00B73C16" w:rsidRDefault="00B73C16" w:rsidP="00B73C1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Lo que Lacan subraya sobre los cuatro elementos del montaje pulsional está más o menos implícito en el texto de Freud. Sin embargo, este último se encontraba en un momento de investigación, de descubrimiento, lo que explica las contradicciones y</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retrocesos de su texto. Lacan, con su lectura, le puso un orden irrefutable, haciendo del concepto de pulsión una herramienta rigurosa en el manejo de la clínica de lo precoz.</w:t>
      </w:r>
    </w:p>
    <w:p w14:paraId="1F4E58E9" w14:textId="77777777" w:rsidR="00B73C16" w:rsidRDefault="00B73C16" w:rsidP="00B73C1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Lacan reserva el término de pulsión únicamente para las pulsiones sexuales parciales y en otro registro,  todo lo que concierne a la conservación del individuo -lo que Freud llamó </w:t>
      </w:r>
      <w:proofErr w:type="spellStart"/>
      <w:r>
        <w:rPr>
          <w:rFonts w:ascii="Times New Roman" w:eastAsia="Times New Roman" w:hAnsi="Times New Roman" w:cs="Times New Roman"/>
          <w:i/>
          <w:iCs/>
          <w:sz w:val="24"/>
          <w:szCs w:val="24"/>
        </w:rPr>
        <w:t>Ich</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Triebe</w:t>
      </w:r>
      <w:proofErr w:type="spellEnd"/>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las pulsiones del Yo-</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a lo que habrá que nombrar de otra manera. Todo el registro de la necesidad cae así fuera del campo de lo pulsional.</w:t>
      </w:r>
      <w:r>
        <w:rPr>
          <w:rFonts w:ascii="Times New Roman" w:eastAsia="Times New Roman" w:hAnsi="Times New Roman" w:cs="Times New Roman"/>
          <w:sz w:val="24"/>
          <w:szCs w:val="24"/>
          <w:vertAlign w:val="superscript"/>
        </w:rPr>
        <w:footnoteReference w:id="17"/>
      </w:r>
    </w:p>
    <w:p w14:paraId="1BB5B48B" w14:textId="77777777" w:rsidR="00B73C16" w:rsidRDefault="00B73C16" w:rsidP="00B73C1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Nosotros vimos que la satisfacción de la pulsión no es otra cosa que la realización de un trayecto en forma de circuito que viene a cerrarse en el punto de partida. Trabajando sobre este trayecto del circuito pulsional, descrito por Freud, Lacan introduce lo que me parece más interesante, pero menos tenido en cuenta</w:t>
      </w:r>
      <w:r>
        <w:rPr>
          <w:rFonts w:ascii="Times New Roman" w:eastAsia="Times New Roman" w:hAnsi="Times New Roman" w:cs="Times New Roman"/>
          <w:color w:val="202124"/>
          <w:sz w:val="24"/>
          <w:szCs w:val="24"/>
        </w:rPr>
        <w:t xml:space="preserve">, </w:t>
      </w:r>
      <w:r>
        <w:rPr>
          <w:rFonts w:ascii="Times New Roman" w:eastAsia="Times New Roman" w:hAnsi="Times New Roman" w:cs="Times New Roman"/>
          <w:sz w:val="24"/>
          <w:szCs w:val="24"/>
        </w:rPr>
        <w:t xml:space="preserve">de su concepción de la pulsión: el surgimiento del sujeto de la pulsión. Lacan, sostenido probablemente por su experiencia clínica, pero sobre todo por la lógica interna de su teoría, fuerza en cierto sentido el texto freudiano, forzamiento extremadamente fecundo para una clínica como la del autismo. </w:t>
      </w:r>
    </w:p>
    <w:p w14:paraId="24DC006E" w14:textId="77777777" w:rsidR="00B73C16" w:rsidRDefault="00B73C16" w:rsidP="00B73C16">
      <w:pPr>
        <w:spacing w:line="360" w:lineRule="auto"/>
        <w:jc w:val="both"/>
        <w:rPr>
          <w:rFonts w:ascii="Times New Roman" w:eastAsia="Times New Roman" w:hAnsi="Times New Roman" w:cs="Times New Roman"/>
          <w:sz w:val="24"/>
          <w:szCs w:val="24"/>
        </w:rPr>
      </w:pPr>
    </w:p>
    <w:p w14:paraId="27093DD3" w14:textId="77777777" w:rsidR="00B73C16" w:rsidRDefault="00B73C16" w:rsidP="00B73C16">
      <w:pPr>
        <w:spacing w:line="360" w:lineRule="auto"/>
        <w:ind w:firstLine="454"/>
        <w:jc w:val="both"/>
        <w:rPr>
          <w:rFonts w:ascii="Times New Roman" w:eastAsia="Times New Roman" w:hAnsi="Times New Roman" w:cs="Times New Roman"/>
          <w:b/>
          <w:bCs/>
          <w:sz w:val="24"/>
          <w:szCs w:val="24"/>
        </w:rPr>
      </w:pPr>
      <w:r>
        <w:rPr>
          <w:rFonts w:ascii="Times New Roman" w:eastAsia="Times New Roman" w:hAnsi="Times New Roman" w:cs="Times New Roman"/>
          <w:b/>
          <w:bCs/>
          <w:i/>
          <w:iCs/>
          <w:sz w:val="24"/>
          <w:szCs w:val="24"/>
        </w:rPr>
        <w:t>El surgimiento de un nuevo sujeto</w:t>
      </w:r>
    </w:p>
    <w:p w14:paraId="28959488" w14:textId="77777777" w:rsidR="00B73C16" w:rsidRDefault="00B73C16" w:rsidP="00B73C1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Freud, hay tres tiempos de la pulsión: en el tercer tiempo, aparece un nuevo sujeto</w:t>
      </w:r>
      <w:r>
        <w:rPr>
          <w:rFonts w:ascii="Times New Roman" w:eastAsia="Times New Roman" w:hAnsi="Times New Roman" w:cs="Times New Roman"/>
          <w:sz w:val="24"/>
          <w:szCs w:val="24"/>
          <w:vertAlign w:val="superscript"/>
        </w:rPr>
        <w:footnoteReference w:id="18"/>
      </w:r>
      <w:r>
        <w:rPr>
          <w:rFonts w:ascii="Times New Roman" w:eastAsia="Times New Roman" w:hAnsi="Times New Roman" w:cs="Times New Roman"/>
          <w:sz w:val="24"/>
          <w:szCs w:val="24"/>
        </w:rPr>
        <w:t>. Lacan agrega: “Ese sujeto, que es el otro propiamente, aparece en tanto que la pulsión pudo cerrar su curso circular. Solamente con su aparición a nivel del otro puede realizarse la función</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de la pulsión” (p. 162). </w:t>
      </w:r>
    </w:p>
    <w:p w14:paraId="0D6FE6D2" w14:textId="77777777" w:rsidR="00B73C16" w:rsidRDefault="00B73C16" w:rsidP="00B73C16">
      <w:pPr>
        <w:spacing w:line="360" w:lineRule="auto"/>
        <w:ind w:firstLine="454"/>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Ese sujeto</w:t>
      </w:r>
      <w:r>
        <w:rPr>
          <w:rFonts w:ascii="Times New Roman" w:eastAsia="Times New Roman" w:hAnsi="Times New Roman" w:cs="Times New Roman"/>
          <w:sz w:val="24"/>
          <w:szCs w:val="24"/>
          <w:vertAlign w:val="superscript"/>
        </w:rPr>
        <w:footnoteReference w:id="19"/>
      </w:r>
      <w:r>
        <w:rPr>
          <w:rFonts w:ascii="Times New Roman" w:eastAsia="Times New Roman" w:hAnsi="Times New Roman" w:cs="Times New Roman"/>
          <w:sz w:val="24"/>
          <w:szCs w:val="24"/>
        </w:rPr>
        <w:t>, que surge cuando se cumple el circuito pulsional completo, me parece que quedó inaudible en el medio lacaniano y, de la misma manera, una gran parte de la teoría lacaniana de la pulsión.</w:t>
      </w:r>
    </w:p>
    <w:p w14:paraId="18F6CFB9" w14:textId="77777777" w:rsidR="00B73C16" w:rsidRDefault="00B73C16" w:rsidP="00B73C1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estos tres tiempos, el primero, para Freud, es activo, el bebé (en el caso que nos interesa) va hacia un objeto externo –pecho, biberón-; el segundo es reflexivo, tomando como objeto una parte de su propio cuerpo –el chupete o dedo-; y el tercer tiempo -que Freud califica </w:t>
      </w:r>
      <w:r>
        <w:rPr>
          <w:rFonts w:ascii="Times New Roman" w:eastAsia="Times New Roman" w:hAnsi="Times New Roman" w:cs="Times New Roman"/>
          <w:sz w:val="24"/>
          <w:szCs w:val="24"/>
        </w:rPr>
        <w:lastRenderedPageBreak/>
        <w:t>de “pasivo”-, es cuando el bebé se hace objeto de un otro, ese famoso nuevo sujeto</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-la madre, por ejemplo. </w:t>
      </w:r>
    </w:p>
    <w:p w14:paraId="4F8B9FFB" w14:textId="77777777" w:rsidR="00B73C16" w:rsidRDefault="00B73C16" w:rsidP="00B73C1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Una niña autista nos permitió traducir en términos clínicos este tercer tiempo del circuito pulsional oral. Fascinada, trazaba círculos sistemáticamente en una publicidad de pañales de bebé donde veíamos a este bebé “hacerse comer” el pie por una madre cuyo rostro relucía de placer. Esta publicidad figuraba el tercer tiempo de la pulsión oral: “hacerse comer”.</w:t>
      </w:r>
      <w:r>
        <w:rPr>
          <w:rFonts w:ascii="Times New Roman" w:eastAsia="Times New Roman" w:hAnsi="Times New Roman" w:cs="Times New Roman"/>
          <w:sz w:val="24"/>
          <w:szCs w:val="24"/>
          <w:vertAlign w:val="superscript"/>
        </w:rPr>
        <w:footnoteReference w:id="20"/>
      </w:r>
      <w:r>
        <w:rPr>
          <w:rFonts w:ascii="Times New Roman" w:eastAsia="Times New Roman" w:hAnsi="Times New Roman" w:cs="Times New Roman"/>
          <w:sz w:val="24"/>
          <w:szCs w:val="24"/>
        </w:rPr>
        <w:t xml:space="preserve"> Acá tenemos muchos puntos para subrayar. Primero, la perspicacia de los medios publicitarios: el bebé no era para nada pasivo en la situación, y era evidente que él había suscitado hacerse comer el piecito. Este aspecto eminentemente activo del tercer tiempo del circuito pulsional ya había sido subrayado por Lacan que lo había llamado, no como Freud el “tiempo pasivo”, sino el tiempo del “hacerse”. Este matiz es fundamental en el plano clínico. Si el bebé de la publicidad, como otros de nuestro círculo cercano, goza</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haciéndose comer, esto no sucede en los bebés que devienen autistas y que nosotros conocemos a través de los videos familiares. Ellos no “se hacen” ni comer, ni mirar, ni escuchar. Algunas veces sucede que una madre intenta entrar en contacto con su bebé, dándole besos en la panza desnuda, por ejemplo, la excitación se percibe fácilmente, y durante un instante, el bebé no puede evitar el contacto, incluso</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la mirada de su madre. Pero esta acción materna, que él no suscitó, es vivida como una intrusión intolerable, contra la cual, en los instantes siguientes, va a cerrarse todavía más aún. Al contrario, un bebé con los signos esperables de desarrollo, desnudo sobre el cambiador, infla su panza, objeto ofrecido en la anticipación de la voluptuosidad oral de la madre. Estará entonces, muy atento al placer que se inscribe en el rostro y la mirada de su madre, para la cual él es rico para comer, y que lo gratificará con un “te comería todo” o alguna otra metáfora azucarada. Es justamente este goce que el bebé vino a pescar en ella.</w:t>
      </w:r>
    </w:p>
    <w:p w14:paraId="3A854DBB" w14:textId="77777777" w:rsidR="00B73C16" w:rsidRDefault="00B73C16" w:rsidP="00B73C16">
      <w:pPr>
        <w:spacing w:line="360" w:lineRule="auto"/>
        <w:ind w:firstLine="454"/>
        <w:jc w:val="both"/>
        <w:rPr>
          <w:rFonts w:ascii="Times New Roman" w:eastAsia="Times New Roman" w:hAnsi="Times New Roman" w:cs="Times New Roman"/>
          <w:sz w:val="24"/>
          <w:szCs w:val="24"/>
        </w:rPr>
      </w:pPr>
    </w:p>
    <w:p w14:paraId="2703C7D7" w14:textId="77777777" w:rsidR="00B73C16" w:rsidRDefault="00B73C16" w:rsidP="00B73C1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 una experiencia común que una madre —correctamente marcada por la castración—, </w:t>
      </w:r>
      <w:proofErr w:type="spellStart"/>
      <w:r>
        <w:rPr>
          <w:rFonts w:ascii="Times New Roman" w:eastAsia="Times New Roman" w:hAnsi="Times New Roman" w:cs="Times New Roman"/>
          <w:sz w:val="24"/>
          <w:szCs w:val="24"/>
        </w:rPr>
        <w:t>aún</w:t>
      </w:r>
      <w:proofErr w:type="spellEnd"/>
      <w:r>
        <w:rPr>
          <w:rFonts w:ascii="Times New Roman" w:eastAsia="Times New Roman" w:hAnsi="Times New Roman" w:cs="Times New Roman"/>
          <w:sz w:val="24"/>
          <w:szCs w:val="24"/>
        </w:rPr>
        <w:t xml:space="preserve"> experimentando esa </w:t>
      </w:r>
      <w:proofErr w:type="spellStart"/>
      <w:r>
        <w:rPr>
          <w:rFonts w:ascii="Times New Roman" w:eastAsia="Times New Roman" w:hAnsi="Times New Roman" w:cs="Times New Roman"/>
          <w:i/>
          <w:iCs/>
          <w:sz w:val="24"/>
          <w:szCs w:val="24"/>
        </w:rPr>
        <w:t>jouissance</w:t>
      </w:r>
      <w:proofErr w:type="spellEnd"/>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(ese goce) de devorar a su bebé así ofrecido, le ponga un límite en nombre de principios terceros, diciéndole, por ejemplo, que no debe excitarse demasiado. Este</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goce, experimentado por la madre, solo puede ser fálico y, como tal, prohibido para el sujeto-madre. Dejo de lado, voluntariamente, el caso de las madres para las cuales se trataría de un goce otro</w:t>
      </w:r>
      <w:r>
        <w:rPr>
          <w:rFonts w:ascii="Times New Roman" w:eastAsia="Times New Roman" w:hAnsi="Times New Roman" w:cs="Times New Roman"/>
          <w:sz w:val="24"/>
          <w:szCs w:val="24"/>
          <w:vertAlign w:val="superscript"/>
        </w:rPr>
        <w:footnoteReference w:id="21"/>
      </w:r>
      <w:r>
        <w:rPr>
          <w:rFonts w:ascii="Times New Roman" w:eastAsia="Times New Roman" w:hAnsi="Times New Roman" w:cs="Times New Roman"/>
          <w:sz w:val="24"/>
          <w:szCs w:val="24"/>
        </w:rPr>
        <w:t xml:space="preserve">, no marcada por la prohibición. Ellas pueden, tal vez, volver psicótico a su hijo, pero seguramente no autista. Este tercer tiempo del circuito pulsional, este momento </w:t>
      </w:r>
      <w:r>
        <w:rPr>
          <w:rFonts w:ascii="Times New Roman" w:eastAsia="Times New Roman" w:hAnsi="Times New Roman" w:cs="Times New Roman"/>
          <w:sz w:val="24"/>
          <w:szCs w:val="24"/>
        </w:rPr>
        <w:lastRenderedPageBreak/>
        <w:t>en el que el sujeto va a hacerse objeto de un nuevo sujeto, el futuro autista no lo conoce. ¿Acaso no lo suscita? ¿Acaso la madre es incapaz de responder a él? De cualquier forma, el resultado es el mismo. El circuito pulsional no se cierra.</w:t>
      </w:r>
    </w:p>
    <w:p w14:paraId="571652D4" w14:textId="77777777" w:rsidR="00B73C16" w:rsidRDefault="00B73C16" w:rsidP="00B73C16">
      <w:pPr>
        <w:spacing w:line="360" w:lineRule="auto"/>
        <w:ind w:firstLine="454"/>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Pero, ¿cuál es la relación entre este goce del otro y la pulsión? Para Lacan, la sujeción del yo (</w:t>
      </w:r>
      <w:r>
        <w:rPr>
          <w:rFonts w:ascii="Times New Roman" w:eastAsia="Times New Roman" w:hAnsi="Times New Roman" w:cs="Times New Roman"/>
          <w:i/>
          <w:iCs/>
          <w:sz w:val="24"/>
          <w:szCs w:val="24"/>
        </w:rPr>
        <w:t>je</w:t>
      </w:r>
      <w:r>
        <w:rPr>
          <w:rFonts w:ascii="Times New Roman" w:eastAsia="Times New Roman" w:hAnsi="Times New Roman" w:cs="Times New Roman"/>
          <w:sz w:val="24"/>
          <w:szCs w:val="24"/>
        </w:rPr>
        <w:t>) a un pequeño otro tiene por objetivo pescar su goce, y es eso que hace de ese pequeño otro el “sujeto de la pulsión”. Más tarde, el sujeto devenido adulto, nuestro antiguo bebé “se dará cuenta de que su deseo no es más que un vano rodeo para pescar, engarzar el goce del otro” (p. 167). En ese momento constitutivo de la subjetivación, engarzando el goce de este otro, puede alcanzar la dimensión del Otro, pero no cualquier Otro: del Otro real (p 172), campo en el cual él vendrá a sujetarse. Lacan concluye así: “¿Qué es lo que este breve recorrido nos revela? La pulsión al invaginarse a través de la zona erógena, tiene por misión de ir en busca de algo que, cada vez, responde en el Otro” (p. 178).</w:t>
      </w:r>
      <w:r>
        <w:rPr>
          <w:rFonts w:ascii="Times New Roman" w:eastAsia="Times New Roman" w:hAnsi="Times New Roman" w:cs="Times New Roman"/>
          <w:i/>
          <w:iCs/>
          <w:sz w:val="24"/>
          <w:szCs w:val="24"/>
        </w:rPr>
        <w:t xml:space="preserve"> </w:t>
      </w:r>
    </w:p>
    <w:p w14:paraId="0E74730C" w14:textId="77777777" w:rsidR="00B73C16" w:rsidRDefault="00B73C16" w:rsidP="00B73C1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Podríamos decir entonces que, a través de su teoría de las pulsiones, Lacan propone redoblar la cuestión del surgimiento del sujeto (del inconsciente, sujeto de la subjetivación) en el campo del Otro, en un lazo al significante, con el surgimiento del sujeto en un lazo de sujeción al Otro real, que ahí aparece en su dimensión de pequeño otro y de Otro</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–desdoblamiento necesario para que uno pueda hablar de su deseo o de su goce.</w:t>
      </w:r>
      <w:r>
        <w:rPr>
          <w:rFonts w:ascii="Times New Roman" w:eastAsia="Times New Roman" w:hAnsi="Times New Roman" w:cs="Times New Roman"/>
          <w:sz w:val="24"/>
          <w:szCs w:val="24"/>
          <w:vertAlign w:val="superscript"/>
        </w:rPr>
        <w:footnoteReference w:id="22"/>
      </w:r>
    </w:p>
    <w:p w14:paraId="246E59A5" w14:textId="77777777" w:rsidR="00B73C16" w:rsidRDefault="00B73C16" w:rsidP="00B73C1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desdoblamiento no es tan sorprendente: desde su seminario </w:t>
      </w:r>
      <w:r>
        <w:rPr>
          <w:rFonts w:ascii="Times New Roman" w:eastAsia="Times New Roman" w:hAnsi="Times New Roman" w:cs="Times New Roman"/>
          <w:i/>
          <w:iCs/>
          <w:sz w:val="24"/>
          <w:szCs w:val="24"/>
        </w:rPr>
        <w:t xml:space="preserve">Las formaciones del inconsciente </w:t>
      </w:r>
      <w:r>
        <w:rPr>
          <w:rFonts w:ascii="Times New Roman" w:eastAsia="Times New Roman" w:hAnsi="Times New Roman" w:cs="Times New Roman"/>
          <w:sz w:val="24"/>
          <w:szCs w:val="24"/>
        </w:rPr>
        <w:t>-a propósito de la tercera persona del chiste que escucha y confirma-</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Lacan ya había introducido la noción </w:t>
      </w:r>
      <w:proofErr w:type="gramStart"/>
      <w:r>
        <w:rPr>
          <w:rFonts w:ascii="Times New Roman" w:eastAsia="Times New Roman" w:hAnsi="Times New Roman" w:cs="Times New Roman"/>
          <w:sz w:val="24"/>
          <w:szCs w:val="24"/>
        </w:rPr>
        <w:t>de  Otro</w:t>
      </w:r>
      <w:proofErr w:type="gramEnd"/>
      <w:r>
        <w:rPr>
          <w:rFonts w:ascii="Times New Roman" w:eastAsia="Times New Roman" w:hAnsi="Times New Roman" w:cs="Times New Roman"/>
          <w:sz w:val="24"/>
          <w:szCs w:val="24"/>
        </w:rPr>
        <w:t xml:space="preserve"> real encarnado en la figura de un otro del entorno.</w:t>
      </w:r>
      <w:r>
        <w:rPr>
          <w:rFonts w:ascii="Times New Roman" w:eastAsia="Times New Roman" w:hAnsi="Times New Roman" w:cs="Times New Roman"/>
          <w:sz w:val="24"/>
          <w:szCs w:val="24"/>
          <w:vertAlign w:val="superscript"/>
        </w:rPr>
        <w:footnoteReference w:id="23"/>
      </w:r>
    </w:p>
    <w:p w14:paraId="3871D0F4" w14:textId="77777777" w:rsidR="00B73C16" w:rsidRDefault="00B73C16" w:rsidP="00B73C1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¿Cómo la ausencia de este tercer tiempo lleva a problemas tan graves como los que conocemos en el autismo?</w:t>
      </w:r>
    </w:p>
    <w:p w14:paraId="0169FB75" w14:textId="77777777" w:rsidR="00B73C16" w:rsidRDefault="00B73C16" w:rsidP="00B73C16">
      <w:pPr>
        <w:spacing w:line="360" w:lineRule="auto"/>
        <w:jc w:val="both"/>
        <w:rPr>
          <w:rFonts w:ascii="Times New Roman" w:eastAsia="Times New Roman" w:hAnsi="Times New Roman" w:cs="Times New Roman"/>
          <w:sz w:val="24"/>
          <w:szCs w:val="24"/>
        </w:rPr>
      </w:pPr>
    </w:p>
    <w:p w14:paraId="59E070AC" w14:textId="77777777" w:rsidR="00B73C16" w:rsidRDefault="00B73C16" w:rsidP="00B73C16">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El</w:t>
      </w:r>
      <w:r>
        <w:rPr>
          <w:rFonts w:ascii="Times New Roman" w:eastAsia="Times New Roman" w:hAnsi="Times New Roman" w:cs="Times New Roman"/>
          <w:b/>
          <w:bCs/>
          <w:i/>
          <w:iCs/>
          <w:sz w:val="24"/>
          <w:szCs w:val="24"/>
        </w:rPr>
        <w:t xml:space="preserve"> Proyecto </w:t>
      </w:r>
      <w:r>
        <w:rPr>
          <w:rFonts w:ascii="Times New Roman" w:eastAsia="Times New Roman" w:hAnsi="Times New Roman" w:cs="Times New Roman"/>
          <w:b/>
          <w:bCs/>
          <w:sz w:val="24"/>
          <w:szCs w:val="24"/>
        </w:rPr>
        <w:t>de Freud reactualizado por Lacan</w:t>
      </w:r>
    </w:p>
    <w:p w14:paraId="124F6708" w14:textId="77777777" w:rsidR="00B73C16" w:rsidRDefault="00B73C16" w:rsidP="00B73C1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Lacan sacó el </w:t>
      </w:r>
      <w:r>
        <w:rPr>
          <w:rFonts w:ascii="Times New Roman" w:eastAsia="Times New Roman" w:hAnsi="Times New Roman" w:cs="Times New Roman"/>
          <w:i/>
          <w:iCs/>
          <w:sz w:val="24"/>
          <w:szCs w:val="24"/>
        </w:rPr>
        <w:t>Proyecto</w:t>
      </w:r>
      <w:r>
        <w:rPr>
          <w:rFonts w:ascii="Times New Roman" w:eastAsia="Times New Roman" w:hAnsi="Times New Roman" w:cs="Times New Roman"/>
          <w:i/>
          <w:iCs/>
          <w:sz w:val="24"/>
          <w:szCs w:val="24"/>
          <w:vertAlign w:val="superscript"/>
        </w:rPr>
        <w:footnoteReference w:id="24"/>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del ostracismo en el cual Freud mismo lo había sumergido por considerarlo una psicología demasiado </w:t>
      </w:r>
      <w:proofErr w:type="spellStart"/>
      <w:r>
        <w:rPr>
          <w:rFonts w:ascii="Times New Roman" w:eastAsia="Times New Roman" w:hAnsi="Times New Roman" w:cs="Times New Roman"/>
          <w:sz w:val="24"/>
          <w:szCs w:val="24"/>
        </w:rPr>
        <w:t>biologizante</w:t>
      </w:r>
      <w:proofErr w:type="spellEnd"/>
      <w:r>
        <w:rPr>
          <w:rFonts w:ascii="Times New Roman" w:eastAsia="Times New Roman" w:hAnsi="Times New Roman" w:cs="Times New Roman"/>
          <w:sz w:val="24"/>
          <w:szCs w:val="24"/>
        </w:rPr>
        <w:t xml:space="preserve">, orientada hacia localizaciones cerebrales. Sin embargo, las ideas expresadas en ese manuscrito eran muy adelantadas para su tiempo. Sin saberlo, Freud, ya hacía la hipótesis de barreras sinápticas, que todavía no habían sido </w:t>
      </w:r>
      <w:r>
        <w:rPr>
          <w:rFonts w:ascii="Times New Roman" w:eastAsia="Times New Roman" w:hAnsi="Times New Roman" w:cs="Times New Roman"/>
          <w:sz w:val="24"/>
          <w:szCs w:val="24"/>
        </w:rPr>
        <w:lastRenderedPageBreak/>
        <w:t>descubiertas, y de redes neuronales, modelo que, matematizado, iba a permitir, medio siglo más tarde, importantes avances en inteligencia artificial. Es en cibernética que todos estos resultados iban a ser retomados. En los años 50, Lacan era uno de los pocos psiquiatras que estaba al corriente de estas investigaciones. Levi-Strauss había participado personalmente en los segundos encuentros de cibernética</w:t>
      </w:r>
      <w:r>
        <w:rPr>
          <w:rFonts w:ascii="Times New Roman" w:eastAsia="Times New Roman" w:hAnsi="Times New Roman" w:cs="Times New Roman"/>
          <w:sz w:val="24"/>
          <w:szCs w:val="24"/>
          <w:vertAlign w:val="superscript"/>
        </w:rPr>
        <w:footnoteReference w:id="25"/>
      </w:r>
      <w:r>
        <w:rPr>
          <w:rFonts w:ascii="Times New Roman" w:eastAsia="Times New Roman" w:hAnsi="Times New Roman" w:cs="Times New Roman"/>
          <w:sz w:val="24"/>
          <w:szCs w:val="24"/>
        </w:rPr>
        <w:t xml:space="preserve">. Entonces Lacan, sabiendo todo esto, le da otro lugar a el </w:t>
      </w:r>
      <w:r>
        <w:rPr>
          <w:rFonts w:ascii="Times New Roman" w:eastAsia="Times New Roman" w:hAnsi="Times New Roman" w:cs="Times New Roman"/>
          <w:i/>
          <w:iCs/>
          <w:sz w:val="24"/>
          <w:szCs w:val="24"/>
        </w:rPr>
        <w:t>Proyecto</w:t>
      </w:r>
      <w:r>
        <w:rPr>
          <w:rFonts w:ascii="Times New Roman" w:eastAsia="Times New Roman" w:hAnsi="Times New Roman" w:cs="Times New Roman"/>
          <w:sz w:val="24"/>
          <w:szCs w:val="24"/>
        </w:rPr>
        <w:t xml:space="preserve"> y hace una lectura sacándole toda deriva </w:t>
      </w:r>
      <w:proofErr w:type="spellStart"/>
      <w:r>
        <w:rPr>
          <w:rFonts w:ascii="Times New Roman" w:eastAsia="Times New Roman" w:hAnsi="Times New Roman" w:cs="Times New Roman"/>
          <w:sz w:val="24"/>
          <w:szCs w:val="24"/>
        </w:rPr>
        <w:t>biologizante</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26"/>
      </w:r>
      <w:r>
        <w:rPr>
          <w:rFonts w:ascii="Times New Roman" w:eastAsia="Times New Roman" w:hAnsi="Times New Roman" w:cs="Times New Roman"/>
          <w:sz w:val="24"/>
          <w:szCs w:val="24"/>
        </w:rPr>
        <w:t xml:space="preserve"> En el cruce de estos textos sobre las pulsiones, pudimos constituir una herramienta muy preciada que nos permite entender las primeras instalaciones del aparato psíquico y los fracasos propios del autismo.</w:t>
      </w:r>
    </w:p>
    <w:p w14:paraId="0B30561B" w14:textId="77777777" w:rsidR="00B73C16" w:rsidRDefault="00B73C16" w:rsidP="00B73C1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respuesta que este cruce de textos autoriza sería la siguiente: Cuando el tercer tiempo del circuito pulsional sucede, algo de la representación del deseo </w:t>
      </w:r>
      <w:r>
        <w:rPr>
          <w:rFonts w:ascii="Times New Roman" w:eastAsia="Times New Roman" w:hAnsi="Times New Roman" w:cs="Times New Roman"/>
          <w:i/>
          <w:iCs/>
          <w:sz w:val="24"/>
          <w:szCs w:val="24"/>
        </w:rPr>
        <w:t>(</w:t>
      </w:r>
      <w:proofErr w:type="spellStart"/>
      <w:r>
        <w:rPr>
          <w:rFonts w:ascii="Times New Roman" w:eastAsia="Times New Roman" w:hAnsi="Times New Roman" w:cs="Times New Roman"/>
          <w:i/>
          <w:iCs/>
          <w:sz w:val="24"/>
          <w:szCs w:val="24"/>
        </w:rPr>
        <w:t>Wunschvorstellung</w:t>
      </w:r>
      <w:proofErr w:type="spellEnd"/>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va a inscribirse en el polo alucinatorio de satisfacción primaria. Habrá una huella no solamente de las características de este semejante auxiliar que es el Otro </w:t>
      </w:r>
      <w:r>
        <w:rPr>
          <w:rFonts w:ascii="Times New Roman" w:eastAsia="Times New Roman" w:hAnsi="Times New Roman" w:cs="Times New Roman"/>
          <w:i/>
          <w:iCs/>
          <w:sz w:val="24"/>
          <w:szCs w:val="24"/>
        </w:rPr>
        <w:t>(</w:t>
      </w:r>
      <w:proofErr w:type="spellStart"/>
      <w:r>
        <w:rPr>
          <w:rFonts w:ascii="Times New Roman" w:eastAsia="Times New Roman" w:hAnsi="Times New Roman" w:cs="Times New Roman"/>
          <w:i/>
          <w:iCs/>
          <w:sz w:val="24"/>
          <w:szCs w:val="24"/>
        </w:rPr>
        <w:t>Nebenmensh</w:t>
      </w:r>
      <w:proofErr w:type="spellEnd"/>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sino también algo del goce de este Otro</w:t>
      </w:r>
      <w:r>
        <w:rPr>
          <w:rFonts w:ascii="Times New Roman" w:eastAsia="Times New Roman" w:hAnsi="Times New Roman" w:cs="Times New Roman"/>
          <w:sz w:val="24"/>
          <w:szCs w:val="24"/>
          <w:vertAlign w:val="superscript"/>
        </w:rPr>
        <w:footnoteReference w:id="27"/>
      </w:r>
      <w:r>
        <w:rPr>
          <w:rFonts w:ascii="Times New Roman" w:eastAsia="Times New Roman" w:hAnsi="Times New Roman" w:cs="Times New Roman"/>
          <w:sz w:val="24"/>
          <w:szCs w:val="24"/>
        </w:rPr>
        <w:t xml:space="preserve">. Cuando el bebé se encontrará solo con el chupete y que </w:t>
      </w:r>
      <w:proofErr w:type="gramStart"/>
      <w:r>
        <w:rPr>
          <w:rFonts w:ascii="Times New Roman" w:eastAsia="Times New Roman" w:hAnsi="Times New Roman" w:cs="Times New Roman"/>
          <w:sz w:val="24"/>
          <w:szCs w:val="24"/>
        </w:rPr>
        <w:t>soñara</w:t>
      </w:r>
      <w:proofErr w:type="gramEnd"/>
      <w:r>
        <w:rPr>
          <w:rFonts w:ascii="Times New Roman" w:eastAsia="Times New Roman" w:hAnsi="Times New Roman" w:cs="Times New Roman"/>
          <w:sz w:val="24"/>
          <w:szCs w:val="24"/>
        </w:rPr>
        <w:t>, una investidura será enviada al polo de satisfacción, y la representación del deseo va a reactualizarse. Es lo que Freud escribió en el</w:t>
      </w:r>
      <w:r>
        <w:rPr>
          <w:rFonts w:ascii="Times New Roman" w:eastAsia="Times New Roman" w:hAnsi="Times New Roman" w:cs="Times New Roman"/>
          <w:i/>
          <w:iCs/>
          <w:sz w:val="24"/>
          <w:szCs w:val="24"/>
        </w:rPr>
        <w:t xml:space="preserve"> Proyecto</w:t>
      </w:r>
      <w:r>
        <w:rPr>
          <w:rFonts w:ascii="Times New Roman" w:eastAsia="Times New Roman" w:hAnsi="Times New Roman" w:cs="Times New Roman"/>
          <w:sz w:val="24"/>
          <w:szCs w:val="24"/>
        </w:rPr>
        <w:t>. En el caso de la pulsión oral, podríamos decir que, en</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la experiencia alucinatoria de satisfacción, el bebé reencuentra la risa de placer de su madre. A partir de allí, cuando el segundo tiempo del circuito pulsional vuelve, ese tiempo será verdaderamente autoerótico porque, ya habrá pasado por el tercer tiempo, entonces habrá </w:t>
      </w:r>
      <w:r>
        <w:rPr>
          <w:rFonts w:ascii="Times New Roman" w:eastAsia="Times New Roman" w:hAnsi="Times New Roman" w:cs="Times New Roman"/>
          <w:i/>
          <w:iCs/>
          <w:sz w:val="24"/>
          <w:szCs w:val="24"/>
        </w:rPr>
        <w:t>Eros</w:t>
      </w:r>
      <w:r>
        <w:rPr>
          <w:rFonts w:ascii="Times New Roman" w:eastAsia="Times New Roman" w:hAnsi="Times New Roman" w:cs="Times New Roman"/>
          <w:sz w:val="24"/>
          <w:szCs w:val="24"/>
        </w:rPr>
        <w:t xml:space="preserve"> en el segundo.</w:t>
      </w:r>
    </w:p>
    <w:p w14:paraId="58640620" w14:textId="77777777" w:rsidR="00B73C16" w:rsidRDefault="00B73C16" w:rsidP="00B73C1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Lacan resume así el rol humanizador de la experiencia alucinatoria de satisfacción: “Si no hay algo que el niño alucina, en tanto que sistema de referencia, ningún mundo de la percepción logra ordenarse ni constituirse de manera humana, dándosele este mundo de la percepción como dependiente, como referencia a esta alucinación fundamental sin la cual no habría ninguna atención disponible”.</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vertAlign w:val="superscript"/>
        </w:rPr>
        <w:footnoteReference w:id="28"/>
      </w:r>
      <w:r>
        <w:rPr>
          <w:rFonts w:ascii="Times New Roman" w:eastAsia="Times New Roman" w:hAnsi="Times New Roman" w:cs="Times New Roman"/>
          <w:sz w:val="24"/>
          <w:szCs w:val="24"/>
        </w:rPr>
        <w:t xml:space="preserve"> </w:t>
      </w:r>
    </w:p>
    <w:p w14:paraId="104BDBEF" w14:textId="77777777" w:rsidR="00B73C16" w:rsidRDefault="00B73C16" w:rsidP="00B73C1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circuito pulsional es también el circuito de todas las </w:t>
      </w:r>
      <w:proofErr w:type="spellStart"/>
      <w:r>
        <w:rPr>
          <w:rFonts w:ascii="Times New Roman" w:eastAsia="Times New Roman" w:hAnsi="Times New Roman" w:cs="Times New Roman"/>
          <w:i/>
          <w:iCs/>
          <w:sz w:val="24"/>
          <w:szCs w:val="24"/>
        </w:rPr>
        <w:t>Gedanken</w:t>
      </w:r>
      <w:proofErr w:type="spellEnd"/>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inconscientes, del sistema del pensamiento inconsciente; es sobre este pasaje por el polo alucinatorio de satisfacción que va a constituirse la posibilidad de las representaciones inconscientes. Es la condición </w:t>
      </w:r>
      <w:r>
        <w:rPr>
          <w:rFonts w:ascii="Times New Roman" w:eastAsia="Times New Roman" w:hAnsi="Times New Roman" w:cs="Times New Roman"/>
          <w:i/>
          <w:iCs/>
          <w:sz w:val="24"/>
          <w:szCs w:val="24"/>
        </w:rPr>
        <w:t>sine qua non</w:t>
      </w:r>
      <w:r>
        <w:rPr>
          <w:rFonts w:ascii="Times New Roman" w:eastAsia="Times New Roman" w:hAnsi="Times New Roman" w:cs="Times New Roman"/>
          <w:sz w:val="24"/>
          <w:szCs w:val="24"/>
        </w:rPr>
        <w:t xml:space="preserve">. Si esto fracasa, si no se llega al tercer tiempo, si el circuito de la pulsión se bloquea entre el primer y el segundo tiempo, entonces nada nos garantiza que el </w:t>
      </w:r>
      <w:proofErr w:type="spellStart"/>
      <w:r>
        <w:rPr>
          <w:rFonts w:ascii="Times New Roman" w:eastAsia="Times New Roman" w:hAnsi="Times New Roman" w:cs="Times New Roman"/>
          <w:sz w:val="24"/>
          <w:szCs w:val="24"/>
        </w:rPr>
        <w:t>auto-</w:t>
      </w:r>
      <w:r>
        <w:rPr>
          <w:rFonts w:ascii="Times New Roman" w:eastAsia="Times New Roman" w:hAnsi="Times New Roman" w:cs="Times New Roman"/>
          <w:sz w:val="24"/>
          <w:szCs w:val="24"/>
        </w:rPr>
        <w:lastRenderedPageBreak/>
        <w:t>erotismo</w:t>
      </w:r>
      <w:proofErr w:type="spellEnd"/>
      <w:r>
        <w:rPr>
          <w:rFonts w:ascii="Times New Roman" w:eastAsia="Times New Roman" w:hAnsi="Times New Roman" w:cs="Times New Roman"/>
          <w:sz w:val="24"/>
          <w:szCs w:val="24"/>
        </w:rPr>
        <w:t xml:space="preserve"> no estará desprovisto de la marca</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del lazo al Otro, o sea </w:t>
      </w:r>
      <w:r>
        <w:rPr>
          <w:rFonts w:ascii="Times New Roman" w:eastAsia="Times New Roman" w:hAnsi="Times New Roman" w:cs="Times New Roman"/>
          <w:i/>
          <w:iCs/>
          <w:sz w:val="24"/>
          <w:szCs w:val="24"/>
        </w:rPr>
        <w:t>Eros</w:t>
      </w:r>
      <w:r>
        <w:rPr>
          <w:rFonts w:ascii="Times New Roman" w:eastAsia="Times New Roman" w:hAnsi="Times New Roman" w:cs="Times New Roman"/>
          <w:sz w:val="24"/>
          <w:szCs w:val="24"/>
        </w:rPr>
        <w:t xml:space="preserve">. Si le sacamos </w:t>
      </w:r>
      <w:r>
        <w:rPr>
          <w:rFonts w:ascii="Times New Roman" w:eastAsia="Times New Roman" w:hAnsi="Times New Roman" w:cs="Times New Roman"/>
          <w:i/>
          <w:iCs/>
          <w:sz w:val="24"/>
          <w:szCs w:val="24"/>
        </w:rPr>
        <w:t>Eros</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auto-erotismo</w:t>
      </w:r>
      <w:proofErr w:type="spellEnd"/>
      <w:r>
        <w:rPr>
          <w:rFonts w:ascii="Times New Roman" w:eastAsia="Times New Roman" w:hAnsi="Times New Roman" w:cs="Times New Roman"/>
          <w:sz w:val="24"/>
          <w:szCs w:val="24"/>
        </w:rPr>
        <w:t xml:space="preserve"> se lee autismo. Nada nos garantiza entonces que el polo alucinatorio de satisfacción esté</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en el circuito y que, partiendo de ahí, todo el sistema de representaciones, del pensamiento inconsciente, pueda constituirse, porque entonces van a estar ausentes la metáfora, la metonimia, todos los procesos de condensación y de desplazamiento. No sorprende entonces que nos encontremos, después, con déficits cognitivos.</w:t>
      </w:r>
    </w:p>
    <w:p w14:paraId="49411F4A" w14:textId="77777777" w:rsidR="00B73C16" w:rsidRDefault="00B73C16" w:rsidP="00B73C16">
      <w:pPr>
        <w:spacing w:line="360" w:lineRule="auto"/>
        <w:jc w:val="both"/>
        <w:rPr>
          <w:rFonts w:ascii="Times New Roman" w:eastAsia="Times New Roman" w:hAnsi="Times New Roman" w:cs="Times New Roman"/>
          <w:sz w:val="24"/>
          <w:szCs w:val="24"/>
        </w:rPr>
      </w:pPr>
    </w:p>
    <w:p w14:paraId="625A2DF3" w14:textId="77777777" w:rsidR="00B73C16" w:rsidRDefault="00B73C16" w:rsidP="00B73C1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Una lectura lacaniana de una investigación en psicolingüística</w:t>
      </w:r>
    </w:p>
    <w:p w14:paraId="38A1BBD6" w14:textId="77777777" w:rsidR="00B73C16" w:rsidRDefault="00B73C16" w:rsidP="00B73C1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investigaciones actuales en psicolingüística van en el mismo sentido, incluso sin saberlo. La psicolingüística es esa rama de la investigación que empezó a ser conocida alrededor de 1982, es decir después de la muerte de Lacan. Los psicolingüistas tienen actualmente veinticinco años de trabajo. En una de las primeras</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investigaciones, Ann </w:t>
      </w:r>
      <w:proofErr w:type="spellStart"/>
      <w:r>
        <w:rPr>
          <w:rFonts w:ascii="Times New Roman" w:eastAsia="Times New Roman" w:hAnsi="Times New Roman" w:cs="Times New Roman"/>
          <w:sz w:val="24"/>
          <w:szCs w:val="24"/>
        </w:rPr>
        <w:t>Fernald</w:t>
      </w:r>
      <w:proofErr w:type="spellEnd"/>
      <w:r>
        <w:rPr>
          <w:rFonts w:ascii="Times New Roman" w:eastAsia="Times New Roman" w:hAnsi="Times New Roman" w:cs="Times New Roman"/>
          <w:sz w:val="24"/>
          <w:szCs w:val="24"/>
        </w:rPr>
        <w:t xml:space="preserve">, una de las fundadoras de la psicolingüística, constataba en los bebés un apetito oral exacerbado por una forma particular de palabra materna, que fue llamado </w:t>
      </w:r>
      <w:proofErr w:type="spellStart"/>
      <w:r>
        <w:rPr>
          <w:rFonts w:ascii="Times New Roman" w:eastAsia="Times New Roman" w:hAnsi="Times New Roman" w:cs="Times New Roman"/>
          <w:i/>
          <w:iCs/>
          <w:sz w:val="24"/>
          <w:szCs w:val="24"/>
        </w:rPr>
        <w:t>motherese</w:t>
      </w:r>
      <w:proofErr w:type="spellEnd"/>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maternés</w:t>
      </w:r>
      <w:proofErr w:type="spellEnd"/>
      <w:r>
        <w:rPr>
          <w:rFonts w:ascii="Times New Roman" w:eastAsia="Times New Roman" w:hAnsi="Times New Roman" w:cs="Times New Roman"/>
          <w:sz w:val="24"/>
          <w:szCs w:val="24"/>
        </w:rPr>
        <w:t xml:space="preserve"> en español). Ese </w:t>
      </w:r>
      <w:proofErr w:type="spellStart"/>
      <w:r>
        <w:rPr>
          <w:rFonts w:ascii="Times New Roman" w:eastAsia="Times New Roman" w:hAnsi="Times New Roman" w:cs="Times New Roman"/>
          <w:i/>
          <w:iCs/>
          <w:sz w:val="24"/>
          <w:szCs w:val="24"/>
        </w:rPr>
        <w:t>motherese</w:t>
      </w:r>
      <w:proofErr w:type="spellEnd"/>
      <w:r>
        <w:rPr>
          <w:rFonts w:ascii="Times New Roman" w:eastAsia="Times New Roman" w:hAnsi="Times New Roman" w:cs="Times New Roman"/>
          <w:sz w:val="24"/>
          <w:szCs w:val="24"/>
        </w:rPr>
        <w:t xml:space="preserve"> presenta una serie de características específicas a nivel de la gramática, de la puntuación, de la escansión y una prosodia particular. La autora primero se interesó en las características prosódicas del </w:t>
      </w:r>
      <w:proofErr w:type="spellStart"/>
      <w:r>
        <w:rPr>
          <w:rFonts w:ascii="Times New Roman" w:eastAsia="Times New Roman" w:hAnsi="Times New Roman" w:cs="Times New Roman"/>
          <w:i/>
          <w:iCs/>
          <w:sz w:val="24"/>
          <w:szCs w:val="24"/>
        </w:rPr>
        <w:t>motherese</w:t>
      </w:r>
      <w:proofErr w:type="spellEnd"/>
      <w:r>
        <w:rPr>
          <w:rFonts w:ascii="Times New Roman" w:eastAsia="Times New Roman" w:hAnsi="Times New Roman" w:cs="Times New Roman"/>
          <w:sz w:val="24"/>
          <w:szCs w:val="24"/>
        </w:rPr>
        <w:t xml:space="preserve"> y el efecto que esto produce sobre el apetito oral del bebé. Trabajando en una maternidad con bebés entre 1 y 3 días de vida</w:t>
      </w:r>
      <w:r>
        <w:rPr>
          <w:rFonts w:ascii="Times New Roman" w:eastAsia="Times New Roman" w:hAnsi="Times New Roman" w:cs="Times New Roman"/>
          <w:sz w:val="24"/>
          <w:szCs w:val="24"/>
          <w:vertAlign w:val="superscript"/>
        </w:rPr>
        <w:footnoteReference w:id="29"/>
      </w:r>
      <w:r>
        <w:rPr>
          <w:rFonts w:ascii="Times New Roman" w:eastAsia="Times New Roman" w:hAnsi="Times New Roman" w:cs="Times New Roman"/>
          <w:sz w:val="24"/>
          <w:szCs w:val="24"/>
        </w:rPr>
        <w:t xml:space="preserve">, ¿qué descubrió? Descubrió que un recién nacido -que todavía no fue alimentado- o sea que no tuvo todavía la experiencia de satisfacción alimentaria, se vuelve muy atento escuchando la voz de su madre cuando ella se dirige a él y se pone a succionar intensamente el chupete. Este chupete llamado “no nutritivo”, lo único que hace este chupete es grabar, registrar, la intensidad de las succiones. Como psicoanalistas, ¿cómo podemos leer estos datos? El interés pulsional suscitado en el recién nacido se traduce por las intensas succiones: es la traducción oral de toda experiencia de interés en un recién nacido. No hay entonces acá objeto de satisfacción de necesidad. Vemos bien la diferencia radical entre objeto causa del deseo -o sea el de la pulsión- y el objeto de satisfacción de la necesidad. El recién nacido, entusiasmado por algo de ese </w:t>
      </w:r>
      <w:proofErr w:type="spellStart"/>
      <w:r>
        <w:rPr>
          <w:rFonts w:ascii="Times New Roman" w:eastAsia="Times New Roman" w:hAnsi="Times New Roman" w:cs="Times New Roman"/>
          <w:sz w:val="24"/>
          <w:szCs w:val="24"/>
        </w:rPr>
        <w:t>maternés</w:t>
      </w:r>
      <w:proofErr w:type="spellEnd"/>
      <w:r>
        <w:rPr>
          <w:rFonts w:ascii="Times New Roman" w:eastAsia="Times New Roman" w:hAnsi="Times New Roman" w:cs="Times New Roman"/>
          <w:sz w:val="24"/>
          <w:szCs w:val="24"/>
        </w:rPr>
        <w:t xml:space="preserve"> succiona intensamente su chupete -incluso cuando este </w:t>
      </w:r>
      <w:proofErr w:type="spellStart"/>
      <w:r>
        <w:rPr>
          <w:rFonts w:ascii="Times New Roman" w:eastAsia="Times New Roman" w:hAnsi="Times New Roman" w:cs="Times New Roman"/>
          <w:sz w:val="24"/>
          <w:szCs w:val="24"/>
        </w:rPr>
        <w:t>maternés</w:t>
      </w:r>
      <w:proofErr w:type="spellEnd"/>
      <w:r>
        <w:rPr>
          <w:rFonts w:ascii="Times New Roman" w:eastAsia="Times New Roman" w:hAnsi="Times New Roman" w:cs="Times New Roman"/>
          <w:sz w:val="24"/>
          <w:szCs w:val="24"/>
        </w:rPr>
        <w:t xml:space="preserve"> es escuchado en una grabación. Sin embargo, </w:t>
      </w:r>
      <w:proofErr w:type="spellStart"/>
      <w:r>
        <w:rPr>
          <w:rFonts w:ascii="Times New Roman" w:eastAsia="Times New Roman" w:hAnsi="Times New Roman" w:cs="Times New Roman"/>
          <w:sz w:val="24"/>
          <w:szCs w:val="24"/>
        </w:rPr>
        <w:t>Fernald</w:t>
      </w:r>
      <w:proofErr w:type="spellEnd"/>
      <w:r>
        <w:rPr>
          <w:rFonts w:ascii="Times New Roman" w:eastAsia="Times New Roman" w:hAnsi="Times New Roman" w:cs="Times New Roman"/>
          <w:sz w:val="24"/>
          <w:szCs w:val="24"/>
        </w:rPr>
        <w:t xml:space="preserve"> descubrió que, si grababa la voz de la madre, sin la presencia del bebé, no obtenía el mismo resultado. No encontrábamos más los picos prosódicos y el bebé mostraba muchísimo menos interés en esa grabación. Esto indica que la madre no llega a hablar bien su </w:t>
      </w:r>
      <w:proofErr w:type="spellStart"/>
      <w:r>
        <w:rPr>
          <w:rFonts w:ascii="Times New Roman" w:eastAsia="Times New Roman" w:hAnsi="Times New Roman" w:cs="Times New Roman"/>
          <w:sz w:val="24"/>
          <w:szCs w:val="24"/>
        </w:rPr>
        <w:t>maternés</w:t>
      </w:r>
      <w:proofErr w:type="spellEnd"/>
      <w:r>
        <w:rPr>
          <w:rFonts w:ascii="Times New Roman" w:eastAsia="Times New Roman" w:hAnsi="Times New Roman" w:cs="Times New Roman"/>
          <w:sz w:val="24"/>
          <w:szCs w:val="24"/>
        </w:rPr>
        <w:t xml:space="preserve"> en ausencia de su bebé. Y si una madre se dirige a otro adulto, los picos prosódicos </w:t>
      </w:r>
      <w:r>
        <w:rPr>
          <w:rFonts w:ascii="Times New Roman" w:eastAsia="Times New Roman" w:hAnsi="Times New Roman" w:cs="Times New Roman"/>
          <w:sz w:val="24"/>
          <w:szCs w:val="24"/>
        </w:rPr>
        <w:lastRenderedPageBreak/>
        <w:t xml:space="preserve">son todavía más débiles, el apetito del bebé se apaga. </w:t>
      </w:r>
      <w:proofErr w:type="spellStart"/>
      <w:r>
        <w:rPr>
          <w:rFonts w:ascii="Times New Roman" w:eastAsia="Times New Roman" w:hAnsi="Times New Roman" w:cs="Times New Roman"/>
          <w:sz w:val="24"/>
          <w:szCs w:val="24"/>
        </w:rPr>
        <w:t>Fernald</w:t>
      </w:r>
      <w:proofErr w:type="spellEnd"/>
      <w:r>
        <w:rPr>
          <w:rFonts w:ascii="Times New Roman" w:eastAsia="Times New Roman" w:hAnsi="Times New Roman" w:cs="Times New Roman"/>
          <w:sz w:val="24"/>
          <w:szCs w:val="24"/>
        </w:rPr>
        <w:t xml:space="preserve"> intentó descubrir si había una situación en la que un adulto, hablando a otro adulto, produciría los mismos picos prosódicos específicos del </w:t>
      </w:r>
      <w:proofErr w:type="spellStart"/>
      <w:r>
        <w:rPr>
          <w:rFonts w:ascii="Times New Roman" w:eastAsia="Times New Roman" w:hAnsi="Times New Roman" w:cs="Times New Roman"/>
          <w:i/>
          <w:iCs/>
          <w:sz w:val="24"/>
          <w:szCs w:val="24"/>
        </w:rPr>
        <w:t>motherese</w:t>
      </w:r>
      <w:proofErr w:type="spellEnd"/>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Y la respuesta es sí, pero para obtenerlos hace falta una situación bastante rara, en la que se presenta un momento de estupefacción, un asombro y, al mismo tiempo, un gran placer, una gran alegría. Entonces, estupefacción y placer conjugados producen el famoso pico prosódico. </w:t>
      </w:r>
      <w:proofErr w:type="spellStart"/>
      <w:r>
        <w:rPr>
          <w:rFonts w:ascii="Times New Roman" w:eastAsia="Times New Roman" w:hAnsi="Times New Roman" w:cs="Times New Roman"/>
          <w:sz w:val="24"/>
          <w:szCs w:val="24"/>
        </w:rPr>
        <w:t>Fernald</w:t>
      </w:r>
      <w:proofErr w:type="spellEnd"/>
      <w:r>
        <w:rPr>
          <w:rFonts w:ascii="Times New Roman" w:eastAsia="Times New Roman" w:hAnsi="Times New Roman" w:cs="Times New Roman"/>
          <w:sz w:val="24"/>
          <w:szCs w:val="24"/>
        </w:rPr>
        <w:t xml:space="preserve"> no sacó ninguna conclusión.</w:t>
      </w:r>
    </w:p>
    <w:p w14:paraId="2FAFE48C" w14:textId="77777777" w:rsidR="00B73C16" w:rsidRDefault="00B73C16" w:rsidP="00B73C16">
      <w:pPr>
        <w:spacing w:line="360" w:lineRule="auto"/>
        <w:ind w:firstLine="454"/>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 xml:space="preserve">En su seminario </w:t>
      </w:r>
      <w:r>
        <w:rPr>
          <w:rFonts w:ascii="Times New Roman" w:eastAsia="Times New Roman" w:hAnsi="Times New Roman" w:cs="Times New Roman"/>
          <w:i/>
          <w:iCs/>
          <w:sz w:val="24"/>
          <w:szCs w:val="24"/>
        </w:rPr>
        <w:t>Las formaciones del inconsciente</w:t>
      </w:r>
      <w:r>
        <w:rPr>
          <w:rFonts w:ascii="Times New Roman" w:eastAsia="Times New Roman" w:hAnsi="Times New Roman" w:cs="Times New Roman"/>
          <w:sz w:val="24"/>
          <w:szCs w:val="24"/>
        </w:rPr>
        <w:t xml:space="preserve">, Lacan trabaja la cuestión de la tercera persona, tal como lo describe Freud en </w:t>
      </w:r>
      <w:r>
        <w:rPr>
          <w:rFonts w:ascii="Times New Roman" w:eastAsia="Times New Roman" w:hAnsi="Times New Roman" w:cs="Times New Roman"/>
          <w:i/>
          <w:iCs/>
          <w:sz w:val="24"/>
          <w:szCs w:val="24"/>
        </w:rPr>
        <w:t>El chiste y su relación con el inconsciente</w:t>
      </w:r>
      <w:r>
        <w:rPr>
          <w:rFonts w:ascii="Times New Roman" w:eastAsia="Times New Roman" w:hAnsi="Times New Roman" w:cs="Times New Roman"/>
          <w:sz w:val="24"/>
          <w:szCs w:val="24"/>
        </w:rPr>
        <w:t>. Gracias a la práctica analítica con niños autistas, pudimos ver que el tercer tiempo del circuito pulsional, el momento en el que el goce del Otro (y del otro</w:t>
      </w:r>
      <w:r>
        <w:rPr>
          <w:rFonts w:ascii="Times New Roman" w:eastAsia="Times New Roman" w:hAnsi="Times New Roman" w:cs="Times New Roman"/>
          <w:sz w:val="24"/>
          <w:szCs w:val="24"/>
          <w:vertAlign w:val="superscript"/>
        </w:rPr>
        <w:footnoteReference w:id="30"/>
      </w:r>
      <w:r>
        <w:rPr>
          <w:rFonts w:ascii="Times New Roman" w:eastAsia="Times New Roman" w:hAnsi="Times New Roman" w:cs="Times New Roman"/>
          <w:sz w:val="24"/>
          <w:szCs w:val="24"/>
        </w:rPr>
        <w:t>), es capturado, corresponde a lo que Lacan retoma a propósito de esta tercera persona</w:t>
      </w:r>
      <w:r>
        <w:rPr>
          <w:rFonts w:ascii="Times New Roman" w:eastAsia="Times New Roman" w:hAnsi="Times New Roman" w:cs="Times New Roman"/>
          <w:sz w:val="24"/>
          <w:szCs w:val="24"/>
          <w:vertAlign w:val="superscript"/>
        </w:rPr>
        <w:footnoteReference w:id="31"/>
      </w:r>
      <w:r>
        <w:rPr>
          <w:rFonts w:ascii="Times New Roman" w:eastAsia="Times New Roman" w:hAnsi="Times New Roman" w:cs="Times New Roman"/>
          <w:sz w:val="24"/>
          <w:szCs w:val="24"/>
        </w:rPr>
        <w:t>. Lo que Lacan dice sobre esta tercera persona, escuchando “una formación de palabra defectuosa, como algo ininteligible, incomprensible, enigmático”, lejos de rechazarla como no perteneciendo al código, luego de un tiempo de estupefacción, se deja llevar por el asombro y reconoce un chiste en dicha formación. Es justamente sobre esta tercera persona -que después de un tiempo de estupefacción se deja iluminar por el placer- que Lacan apuntala su concepto de gran Otro barrado. Aceptar dejarse llevar por la perplejidad y el asombro que esto provoca es la marca de estar barrado.</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Aceptar dejarse desconcertar, aturdir, es la marca de la tachadura en el Otro. El segundo momento es el de la risa. Toda la segunda parte del libro de Freud trata de esto, de la risa, que es placer, goce. No se trata aquí del placer en el sentido del “principio de placer”, que es sobre todo un “principio de no displacer”. Con la estupefacción y la risa del Otro tachado estamos en el tercer tiempo del circuito pulsional. Estupefacción y alegría son también las características de la prosodia del </w:t>
      </w:r>
      <w:proofErr w:type="spellStart"/>
      <w:r>
        <w:rPr>
          <w:rFonts w:ascii="Times New Roman" w:eastAsia="Times New Roman" w:hAnsi="Times New Roman" w:cs="Times New Roman"/>
          <w:i/>
          <w:iCs/>
          <w:sz w:val="24"/>
          <w:szCs w:val="24"/>
        </w:rPr>
        <w:t>motherese</w:t>
      </w:r>
      <w:proofErr w:type="spellEnd"/>
      <w:r>
        <w:rPr>
          <w:rFonts w:ascii="Times New Roman" w:eastAsia="Times New Roman" w:hAnsi="Times New Roman" w:cs="Times New Roman"/>
          <w:sz w:val="24"/>
          <w:szCs w:val="24"/>
        </w:rPr>
        <w:t xml:space="preserve">, del cual el recién nacido está tan ávido. ¿Qué nos enseña la investigación de </w:t>
      </w:r>
      <w:proofErr w:type="spellStart"/>
      <w:r>
        <w:rPr>
          <w:rFonts w:ascii="Times New Roman" w:eastAsia="Times New Roman" w:hAnsi="Times New Roman" w:cs="Times New Roman"/>
          <w:sz w:val="24"/>
          <w:szCs w:val="24"/>
        </w:rPr>
        <w:t>Fernald</w:t>
      </w:r>
      <w:proofErr w:type="spellEnd"/>
      <w:r>
        <w:rPr>
          <w:rFonts w:ascii="Times New Roman" w:eastAsia="Times New Roman" w:hAnsi="Times New Roman" w:cs="Times New Roman"/>
          <w:sz w:val="24"/>
          <w:szCs w:val="24"/>
        </w:rPr>
        <w:t>? Ella nos dice que, desde el nacimiento, y antes de toda experiencia de satisfacción alimentaria, el recién nacido tiene un apetito extraordinario por el goce que la vista de su presencia despierta en el Otro materno.</w:t>
      </w:r>
      <w:r>
        <w:rPr>
          <w:rFonts w:ascii="Times New Roman" w:eastAsia="Times New Roman" w:hAnsi="Times New Roman" w:cs="Times New Roman"/>
          <w:sz w:val="24"/>
          <w:szCs w:val="24"/>
          <w:vertAlign w:val="superscript"/>
        </w:rPr>
        <w:footnoteReference w:id="32"/>
      </w:r>
    </w:p>
    <w:p w14:paraId="09DFA69B" w14:textId="77777777" w:rsidR="00B73C16" w:rsidRDefault="00B73C16" w:rsidP="00B73C16">
      <w:pPr>
        <w:spacing w:line="360" w:lineRule="auto"/>
        <w:ind w:firstLine="454"/>
        <w:jc w:val="both"/>
        <w:rPr>
          <w:rFonts w:ascii="Times New Roman" w:eastAsia="Times New Roman" w:hAnsi="Times New Roman" w:cs="Times New Roman"/>
          <w:sz w:val="24"/>
          <w:szCs w:val="24"/>
          <w:vertAlign w:val="superscript"/>
        </w:rPr>
      </w:pPr>
    </w:p>
    <w:p w14:paraId="64073052" w14:textId="77777777" w:rsidR="00B73C16" w:rsidRDefault="00B73C16" w:rsidP="00B73C1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La articulación entre pulsión </w:t>
      </w:r>
      <w:proofErr w:type="spellStart"/>
      <w:r>
        <w:rPr>
          <w:rFonts w:ascii="Times New Roman" w:eastAsia="Times New Roman" w:hAnsi="Times New Roman" w:cs="Times New Roman"/>
          <w:b/>
          <w:bCs/>
          <w:sz w:val="24"/>
          <w:szCs w:val="24"/>
        </w:rPr>
        <w:t>escópica</w:t>
      </w:r>
      <w:proofErr w:type="spellEnd"/>
      <w:r>
        <w:rPr>
          <w:rFonts w:ascii="Times New Roman" w:eastAsia="Times New Roman" w:hAnsi="Times New Roman" w:cs="Times New Roman"/>
          <w:b/>
          <w:bCs/>
          <w:sz w:val="24"/>
          <w:szCs w:val="24"/>
        </w:rPr>
        <w:t xml:space="preserve"> y pulsión </w:t>
      </w:r>
      <w:proofErr w:type="spellStart"/>
      <w:r>
        <w:rPr>
          <w:rFonts w:ascii="Times New Roman" w:eastAsia="Times New Roman" w:hAnsi="Times New Roman" w:cs="Times New Roman"/>
          <w:b/>
          <w:bCs/>
          <w:sz w:val="24"/>
          <w:szCs w:val="24"/>
        </w:rPr>
        <w:t>invocante</w:t>
      </w:r>
      <w:proofErr w:type="spellEnd"/>
      <w:r>
        <w:rPr>
          <w:rFonts w:ascii="Times New Roman" w:eastAsia="Times New Roman" w:hAnsi="Times New Roman" w:cs="Times New Roman"/>
          <w:b/>
          <w:bCs/>
          <w:sz w:val="24"/>
          <w:szCs w:val="24"/>
        </w:rPr>
        <w:t xml:space="preserve"> en el lactante</w:t>
      </w:r>
    </w:p>
    <w:p w14:paraId="02D5937B" w14:textId="77777777" w:rsidR="00B73C16" w:rsidRDefault="00B73C16" w:rsidP="00B73C1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Recordemos la función del Estadio del Espejo: es el momento en que el bebé, alrededor de los 6 meses, sonríe a su propia imagen reflejada, y busca en el rostro del padre o de la madre </w:t>
      </w:r>
      <w:r>
        <w:rPr>
          <w:rFonts w:ascii="Times New Roman" w:eastAsia="Times New Roman" w:hAnsi="Times New Roman" w:cs="Times New Roman"/>
          <w:sz w:val="24"/>
          <w:szCs w:val="24"/>
        </w:rPr>
        <w:lastRenderedPageBreak/>
        <w:t xml:space="preserve">que lo sostiene, la validación de lo que ve en el espejo. El momento de júbilo que ahí se produce es esencial: nosotros podemos, ahí, estar seguros de que el Estadio del </w:t>
      </w:r>
      <w:proofErr w:type="gramStart"/>
      <w:r>
        <w:rPr>
          <w:rFonts w:ascii="Times New Roman" w:eastAsia="Times New Roman" w:hAnsi="Times New Roman" w:cs="Times New Roman"/>
          <w:sz w:val="24"/>
          <w:szCs w:val="24"/>
        </w:rPr>
        <w:t>Espejo  se</w:t>
      </w:r>
      <w:proofErr w:type="gramEnd"/>
      <w:r>
        <w:rPr>
          <w:rFonts w:ascii="Times New Roman" w:eastAsia="Times New Roman" w:hAnsi="Times New Roman" w:cs="Times New Roman"/>
          <w:sz w:val="24"/>
          <w:szCs w:val="24"/>
        </w:rPr>
        <w:t xml:space="preserve"> constituyó, lo cual es muy importante para la constitución de la imagen del cuerpo, para la unidad corporal y para la posibilidad de una relación con los pequeños otros. Sin embargo, en los bebés futuros autistas, el Estadio del Espejo no se va a constituir.</w:t>
      </w:r>
      <w:r>
        <w:rPr>
          <w:rFonts w:ascii="Times New Roman" w:eastAsia="Times New Roman" w:hAnsi="Times New Roman" w:cs="Times New Roman"/>
          <w:sz w:val="24"/>
          <w:szCs w:val="24"/>
          <w:vertAlign w:val="superscript"/>
        </w:rPr>
        <w:footnoteReference w:id="33"/>
      </w:r>
      <w:r>
        <w:rPr>
          <w:rFonts w:ascii="Times New Roman" w:eastAsia="Times New Roman" w:hAnsi="Times New Roman" w:cs="Times New Roman"/>
          <w:sz w:val="24"/>
          <w:szCs w:val="24"/>
        </w:rPr>
        <w:t xml:space="preserve"> ¿Qué es lo que precede a ese estadio y que hace posible su constitución? Nosotros pensamos que sólo se constituye si hubo, previamente, la experiencia de una prosodia en la voz de la madre -o alguien importante de su entorno- permitiéndole al recién nacido identificar su presencia como siendo objeto causa de un goce de ese Otro barrado (o sea, marcado de una falta).</w:t>
      </w:r>
    </w:p>
    <w:p w14:paraId="5687996B" w14:textId="77777777" w:rsidR="00B73C16" w:rsidRDefault="00B73C16" w:rsidP="00B73C1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quiere decir que el bebé ya sea un sujeto constituido capaz de representarse las cosas de esta manera, pero, así como respondía con una gran avidez oral a la prosodia materna, tampoco podrá impedirse anudar con ella un circuito pulsional </w:t>
      </w:r>
      <w:proofErr w:type="spellStart"/>
      <w:r>
        <w:rPr>
          <w:rFonts w:ascii="Times New Roman" w:eastAsia="Times New Roman" w:hAnsi="Times New Roman" w:cs="Times New Roman"/>
          <w:sz w:val="24"/>
          <w:szCs w:val="24"/>
        </w:rPr>
        <w:t>escópico</w:t>
      </w:r>
      <w:proofErr w:type="spellEnd"/>
      <w:r>
        <w:rPr>
          <w:rFonts w:ascii="Times New Roman" w:eastAsia="Times New Roman" w:hAnsi="Times New Roman" w:cs="Times New Roman"/>
          <w:sz w:val="24"/>
          <w:szCs w:val="24"/>
        </w:rPr>
        <w:t>. El rostro que corresponde a esta voz particular será activamente buscado por él. Y buscará hacerse objeto de su mirada, en la que leerá, no su estado de desamparo de lactante, sino la investidura de la cual él es el objeto idealizado. Efectivamente, aquella (o aquel) que tiene lugar para el bebé de Otro primordial ya lo ve como un sujeto</w:t>
      </w:r>
      <w:r>
        <w:rPr>
          <w:rFonts w:ascii="Times New Roman" w:eastAsia="Times New Roman" w:hAnsi="Times New Roman" w:cs="Times New Roman"/>
          <w:sz w:val="24"/>
          <w:szCs w:val="24"/>
          <w:vertAlign w:val="superscript"/>
        </w:rPr>
        <w:footnoteReference w:id="34"/>
      </w:r>
      <w:r>
        <w:rPr>
          <w:rFonts w:ascii="Times New Roman" w:eastAsia="Times New Roman" w:hAnsi="Times New Roman" w:cs="Times New Roman"/>
          <w:sz w:val="24"/>
          <w:szCs w:val="24"/>
        </w:rPr>
        <w:t>, con una aureola del valor fálico que su propia mirada le atribuye.</w:t>
      </w:r>
    </w:p>
    <w:p w14:paraId="2B157F82" w14:textId="77777777" w:rsidR="00B73C16" w:rsidRDefault="00B73C16" w:rsidP="00B73C1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Eso no ocurre entre el bebé que va a devenir autista y su madre. Pero este signo clínico de la ausencia de mirada no es suficiente para concluir en un riesgo de autismo, porque puede tratarse de una defensa primaria, a veces adecuada. Por ejemplo, frente a una madre melancólica, es mejor para el bebé huir de la mirada materna que solo expresa su propia depresión. El problema es saber si va a haber otro que pueda ocupar, para el bebé, ese lugar de Otro primordial.</w:t>
      </w:r>
    </w:p>
    <w:p w14:paraId="72C95C57" w14:textId="77777777" w:rsidR="00B73C16" w:rsidRDefault="00B73C16" w:rsidP="00B73C1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Lo que sucede en el registro de la mirada también sucede en el registro acústico. Cuando una mamá le habla a su recién nacido, éste puede emitir un sonido cualquiera. Ese sonido la madre también lo inviste fálicamente, ella escucha mucho más que un pequeño ruido; ella lo traduce, por ejemplo, en un vocativo: “Mamá!”.</w:t>
      </w:r>
      <w:r>
        <w:rPr>
          <w:rFonts w:ascii="Times New Roman" w:eastAsia="Times New Roman" w:hAnsi="Times New Roman" w:cs="Times New Roman"/>
          <w:sz w:val="24"/>
          <w:szCs w:val="24"/>
          <w:vertAlign w:val="superscript"/>
        </w:rPr>
        <w:footnoteReference w:id="35"/>
      </w:r>
      <w:r>
        <w:rPr>
          <w:rFonts w:ascii="Times New Roman" w:eastAsia="Times New Roman" w:hAnsi="Times New Roman" w:cs="Times New Roman"/>
          <w:sz w:val="24"/>
          <w:szCs w:val="24"/>
        </w:rPr>
        <w:t xml:space="preserve"> Ella le responde: “Sí, mi bebé, yo también te amo”. Y esto continúa. Y cuando el marido llega a la casa, ella le cuenta: “Hablamos toda la mañana”.</w:t>
      </w:r>
    </w:p>
    <w:p w14:paraId="31E865B3" w14:textId="77777777" w:rsidR="00B73C16" w:rsidRDefault="00B73C16" w:rsidP="00B73C1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 locura de las madres es indispensable para que algún día el sujeto de la palabra se constituya. Hace falta que alguien sea capaz de esta ilusión anticipadora frente al bebé: </w:t>
      </w:r>
      <w:r>
        <w:rPr>
          <w:rFonts w:ascii="Times New Roman" w:eastAsia="Times New Roman" w:hAnsi="Times New Roman" w:cs="Times New Roman"/>
          <w:sz w:val="24"/>
          <w:szCs w:val="24"/>
        </w:rPr>
        <w:lastRenderedPageBreak/>
        <w:t xml:space="preserve">escucharlo en su potencialidad de sujeto de una palabra, mucho antes de que éste aparezca. Los psicolingüistas hablan de </w:t>
      </w:r>
      <w:proofErr w:type="spellStart"/>
      <w:r>
        <w:rPr>
          <w:rFonts w:ascii="Times New Roman" w:eastAsia="Times New Roman" w:hAnsi="Times New Roman" w:cs="Times New Roman"/>
          <w:sz w:val="24"/>
          <w:szCs w:val="24"/>
        </w:rPr>
        <w:t>protoconversación</w:t>
      </w:r>
      <w:proofErr w:type="spellEnd"/>
      <w:r>
        <w:rPr>
          <w:rFonts w:ascii="Times New Roman" w:eastAsia="Times New Roman" w:hAnsi="Times New Roman" w:cs="Times New Roman"/>
          <w:sz w:val="24"/>
          <w:szCs w:val="24"/>
          <w:vertAlign w:val="superscript"/>
        </w:rPr>
        <w:footnoteReference w:id="36"/>
      </w:r>
      <w:r>
        <w:rPr>
          <w:rFonts w:ascii="Times New Roman" w:eastAsia="Times New Roman" w:hAnsi="Times New Roman" w:cs="Times New Roman"/>
          <w:sz w:val="24"/>
          <w:szCs w:val="24"/>
        </w:rPr>
        <w:t xml:space="preserve"> para describir esos turnos de palabra en los que la mamá </w:t>
      </w:r>
      <w:proofErr w:type="spellStart"/>
      <w:r>
        <w:rPr>
          <w:rFonts w:ascii="Times New Roman" w:eastAsia="Times New Roman" w:hAnsi="Times New Roman" w:cs="Times New Roman"/>
          <w:sz w:val="24"/>
          <w:szCs w:val="24"/>
        </w:rPr>
        <w:t>ocupa,alternativamente</w:t>
      </w:r>
      <w:proofErr w:type="spellEnd"/>
      <w:r>
        <w:rPr>
          <w:rFonts w:ascii="Times New Roman" w:eastAsia="Times New Roman" w:hAnsi="Times New Roman" w:cs="Times New Roman"/>
          <w:sz w:val="24"/>
          <w:szCs w:val="24"/>
        </w:rPr>
        <w:t xml:space="preserve"> el lugar del bebé -cuando traduce el sonido que el bebé produjo- y el suyo propio, cuando ella le responde.</w:t>
      </w:r>
    </w:p>
    <w:p w14:paraId="3B9253AD" w14:textId="77777777" w:rsidR="00B73C16" w:rsidRDefault="00B73C16" w:rsidP="00B73C16">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 probable que ese término de los lingüistas, “</w:t>
      </w:r>
      <w:proofErr w:type="spellStart"/>
      <w:r>
        <w:rPr>
          <w:rFonts w:ascii="Times New Roman" w:eastAsia="Times New Roman" w:hAnsi="Times New Roman" w:cs="Times New Roman"/>
          <w:sz w:val="24"/>
          <w:szCs w:val="24"/>
        </w:rPr>
        <w:t>protoconversación</w:t>
      </w:r>
      <w:proofErr w:type="spellEnd"/>
      <w:r>
        <w:rPr>
          <w:rFonts w:ascii="Times New Roman" w:eastAsia="Times New Roman" w:hAnsi="Times New Roman" w:cs="Times New Roman"/>
          <w:sz w:val="24"/>
          <w:szCs w:val="24"/>
        </w:rPr>
        <w:t>”, no corresponda a lo que se juega en ese momento. Pareciera que el bebé fuera mucho más ávido de esa prosodia -portadora de su valor de sujeto en relación con aquel o aquella que se dirige a él- más que de las representaciones de palabra que lo acompañan, como lo enseña una lectura atenta de los videos familiares de los bebés que se volvieron autistas. Si, en las experiencias de la vida cotidiana, hay una ausencia sistemática de la mirada del bebé, del interés por el discurso materno que comenta las actividades, si nada indica que el bebé se hace objeto de alguna pulsión materna, sin embargo, pueden a veces responder a ciertas invocaciones maternas.</w:t>
      </w:r>
      <w:r>
        <w:rPr>
          <w:rFonts w:ascii="Times New Roman" w:eastAsia="Times New Roman" w:hAnsi="Times New Roman" w:cs="Times New Roman"/>
          <w:sz w:val="24"/>
          <w:szCs w:val="24"/>
          <w:vertAlign w:val="superscript"/>
        </w:rPr>
        <w:footnoteReference w:id="37"/>
      </w:r>
      <w:r>
        <w:rPr>
          <w:rFonts w:ascii="Times New Roman" w:eastAsia="Times New Roman" w:hAnsi="Times New Roman" w:cs="Times New Roman"/>
          <w:sz w:val="24"/>
          <w:szCs w:val="24"/>
        </w:rPr>
        <w:t xml:space="preserve"> Como si el llamado de la pulsión </w:t>
      </w:r>
      <w:proofErr w:type="spellStart"/>
      <w:r>
        <w:rPr>
          <w:rFonts w:ascii="Times New Roman" w:eastAsia="Times New Roman" w:hAnsi="Times New Roman" w:cs="Times New Roman"/>
          <w:sz w:val="24"/>
          <w:szCs w:val="24"/>
        </w:rPr>
        <w:t>invocante</w:t>
      </w:r>
      <w:proofErr w:type="spellEnd"/>
      <w:r>
        <w:rPr>
          <w:rFonts w:ascii="Times New Roman" w:eastAsia="Times New Roman" w:hAnsi="Times New Roman" w:cs="Times New Roman"/>
          <w:sz w:val="24"/>
          <w:szCs w:val="24"/>
        </w:rPr>
        <w:t xml:space="preserve"> fuera irresistible. Estas respuestas son como gotas de agua en un océano de indiferencia, y despiertan muchas preguntas que nos han puesto a trabajarlas nuevamente.</w:t>
      </w:r>
    </w:p>
    <w:p w14:paraId="77A0F0E8" w14:textId="77777777" w:rsidR="00B73C16" w:rsidRDefault="00B73C16" w:rsidP="00B73C16">
      <w:pPr>
        <w:spacing w:line="360" w:lineRule="auto"/>
        <w:jc w:val="both"/>
        <w:rPr>
          <w:rFonts w:ascii="Times New Roman" w:eastAsia="Times New Roman" w:hAnsi="Times New Roman" w:cs="Times New Roman"/>
          <w:sz w:val="24"/>
          <w:szCs w:val="24"/>
        </w:rPr>
      </w:pPr>
    </w:p>
    <w:p w14:paraId="7446E50C" w14:textId="77777777" w:rsidR="00B73C16" w:rsidRDefault="00B73C16" w:rsidP="00B73C16">
      <w:pPr>
        <w:spacing w:line="360" w:lineRule="auto"/>
        <w:jc w:val="both"/>
        <w:rPr>
          <w:rFonts w:ascii="Times New Roman" w:eastAsia="Times New Roman" w:hAnsi="Times New Roman" w:cs="Times New Roman"/>
          <w:b/>
          <w:bCs/>
          <w:sz w:val="24"/>
          <w:szCs w:val="24"/>
          <w:highlight w:val="yellow"/>
        </w:rPr>
      </w:pPr>
    </w:p>
    <w:p w14:paraId="5ECDE56F" w14:textId="77777777" w:rsidR="00B73C16" w:rsidRDefault="00B73C16" w:rsidP="00B73C16">
      <w:pPr>
        <w:spacing w:line="360" w:lineRule="auto"/>
        <w:rPr>
          <w:rFonts w:ascii="Times New Roman" w:eastAsia="Times New Roman" w:hAnsi="Times New Roman" w:cs="Times New Roman"/>
          <w:sz w:val="24"/>
          <w:szCs w:val="24"/>
        </w:rPr>
      </w:pPr>
      <w:bookmarkStart w:id="0" w:name="_17w3asvxm8x" w:colFirst="0" w:colLast="0"/>
      <w:bookmarkEnd w:id="0"/>
      <w:r>
        <w:rPr>
          <w:rFonts w:ascii="Times New Roman" w:eastAsia="Times New Roman" w:hAnsi="Times New Roman" w:cs="Times New Roman"/>
          <w:sz w:val="24"/>
          <w:szCs w:val="24"/>
        </w:rPr>
        <w:t xml:space="preserve"> </w:t>
      </w:r>
    </w:p>
    <w:p w14:paraId="0759786F" w14:textId="77777777" w:rsidR="008B4837" w:rsidRDefault="008B4837"/>
    <w:sectPr w:rsidR="008B4837">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16BBC" w14:textId="77777777" w:rsidR="00B73C16" w:rsidRDefault="00B73C16" w:rsidP="00B73C16">
      <w:pPr>
        <w:spacing w:line="240" w:lineRule="auto"/>
      </w:pPr>
      <w:r>
        <w:separator/>
      </w:r>
    </w:p>
  </w:endnote>
  <w:endnote w:type="continuationSeparator" w:id="0">
    <w:p w14:paraId="26F7CFCB" w14:textId="77777777" w:rsidR="00B73C16" w:rsidRDefault="00B73C16" w:rsidP="00B73C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E614D" w14:textId="77777777" w:rsidR="00B73C16" w:rsidRDefault="00B73C16" w:rsidP="00B73C16">
      <w:pPr>
        <w:spacing w:line="240" w:lineRule="auto"/>
      </w:pPr>
      <w:r>
        <w:separator/>
      </w:r>
    </w:p>
  </w:footnote>
  <w:footnote w:type="continuationSeparator" w:id="0">
    <w:p w14:paraId="7552ACBF" w14:textId="77777777" w:rsidR="00B73C16" w:rsidRDefault="00B73C16" w:rsidP="00B73C16">
      <w:pPr>
        <w:spacing w:line="240" w:lineRule="auto"/>
      </w:pPr>
      <w:r>
        <w:continuationSeparator/>
      </w:r>
    </w:p>
  </w:footnote>
  <w:footnote w:id="1">
    <w:p w14:paraId="1BE7B8B4" w14:textId="77777777" w:rsidR="00B73C16" w:rsidRDefault="00B73C16" w:rsidP="00B73C16">
      <w:pPr>
        <w:spacing w:line="240" w:lineRule="auto"/>
        <w:jc w:val="both"/>
        <w:rPr>
          <w:rFonts w:ascii="Calibri" w:eastAsia="Calibri" w:hAnsi="Calibri" w:cs="Calibri"/>
          <w:color w:val="1F1F1F"/>
          <w:sz w:val="20"/>
          <w:szCs w:val="20"/>
          <w:highlight w:val="white"/>
        </w:rPr>
      </w:pPr>
      <w:r>
        <w:rPr>
          <w:vertAlign w:val="superscript"/>
        </w:rPr>
        <w:footnoteRef/>
      </w:r>
      <w:r>
        <w:rPr>
          <w:rFonts w:ascii="Calibri" w:eastAsia="Calibri" w:hAnsi="Calibri" w:cs="Calibri"/>
          <w:color w:val="1F1F1F"/>
          <w:sz w:val="20"/>
          <w:szCs w:val="20"/>
          <w:highlight w:val="white"/>
        </w:rPr>
        <w:t xml:space="preserve"> Marie-Christine </w:t>
      </w:r>
      <w:proofErr w:type="spellStart"/>
      <w:r>
        <w:rPr>
          <w:rFonts w:ascii="Calibri" w:eastAsia="Calibri" w:hAnsi="Calibri" w:cs="Calibri"/>
          <w:color w:val="1F1F1F"/>
          <w:sz w:val="20"/>
          <w:szCs w:val="20"/>
          <w:highlight w:val="white"/>
        </w:rPr>
        <w:t>Laznik</w:t>
      </w:r>
      <w:proofErr w:type="spellEnd"/>
      <w:r>
        <w:rPr>
          <w:rFonts w:ascii="Calibri" w:eastAsia="Calibri" w:hAnsi="Calibri" w:cs="Calibri"/>
          <w:color w:val="1F1F1F"/>
          <w:sz w:val="20"/>
          <w:szCs w:val="20"/>
          <w:highlight w:val="white"/>
        </w:rPr>
        <w:t xml:space="preserve">, "La </w:t>
      </w:r>
      <w:proofErr w:type="spellStart"/>
      <w:r>
        <w:rPr>
          <w:rFonts w:ascii="Calibri" w:eastAsia="Calibri" w:hAnsi="Calibri" w:cs="Calibri"/>
          <w:color w:val="1F1F1F"/>
          <w:sz w:val="20"/>
          <w:szCs w:val="20"/>
          <w:highlight w:val="white"/>
        </w:rPr>
        <w:t>théorie</w:t>
      </w:r>
      <w:proofErr w:type="spellEnd"/>
      <w:r>
        <w:rPr>
          <w:rFonts w:ascii="Calibri" w:eastAsia="Calibri" w:hAnsi="Calibri" w:cs="Calibri"/>
          <w:color w:val="1F1F1F"/>
          <w:sz w:val="20"/>
          <w:szCs w:val="20"/>
          <w:highlight w:val="white"/>
        </w:rPr>
        <w:t xml:space="preserve"> </w:t>
      </w:r>
      <w:proofErr w:type="spellStart"/>
      <w:r>
        <w:rPr>
          <w:rFonts w:ascii="Calibri" w:eastAsia="Calibri" w:hAnsi="Calibri" w:cs="Calibri"/>
          <w:color w:val="1F1F1F"/>
          <w:sz w:val="20"/>
          <w:szCs w:val="20"/>
          <w:highlight w:val="white"/>
        </w:rPr>
        <w:t>lacanienne</w:t>
      </w:r>
      <w:proofErr w:type="spellEnd"/>
      <w:r>
        <w:rPr>
          <w:rFonts w:ascii="Calibri" w:eastAsia="Calibri" w:hAnsi="Calibri" w:cs="Calibri"/>
          <w:color w:val="1F1F1F"/>
          <w:sz w:val="20"/>
          <w:szCs w:val="20"/>
          <w:highlight w:val="white"/>
        </w:rPr>
        <w:t xml:space="preserve"> de la </w:t>
      </w:r>
      <w:proofErr w:type="spellStart"/>
      <w:r>
        <w:rPr>
          <w:rFonts w:ascii="Calibri" w:eastAsia="Calibri" w:hAnsi="Calibri" w:cs="Calibri"/>
          <w:color w:val="1F1F1F"/>
          <w:sz w:val="20"/>
          <w:szCs w:val="20"/>
          <w:highlight w:val="white"/>
        </w:rPr>
        <w:t>pulsion</w:t>
      </w:r>
      <w:proofErr w:type="spellEnd"/>
      <w:r>
        <w:rPr>
          <w:rFonts w:ascii="Calibri" w:eastAsia="Calibri" w:hAnsi="Calibri" w:cs="Calibri"/>
          <w:color w:val="1F1F1F"/>
          <w:sz w:val="20"/>
          <w:szCs w:val="20"/>
          <w:highlight w:val="white"/>
        </w:rPr>
        <w:t xml:space="preserve"> </w:t>
      </w:r>
      <w:proofErr w:type="spellStart"/>
      <w:r>
        <w:rPr>
          <w:rFonts w:ascii="Calibri" w:eastAsia="Calibri" w:hAnsi="Calibri" w:cs="Calibri"/>
          <w:color w:val="1F1F1F"/>
          <w:sz w:val="20"/>
          <w:szCs w:val="20"/>
          <w:highlight w:val="white"/>
        </w:rPr>
        <w:t>permettrait</w:t>
      </w:r>
      <w:proofErr w:type="spellEnd"/>
      <w:r>
        <w:rPr>
          <w:rFonts w:ascii="Calibri" w:eastAsia="Calibri" w:hAnsi="Calibri" w:cs="Calibri"/>
          <w:color w:val="1F1F1F"/>
          <w:sz w:val="20"/>
          <w:szCs w:val="20"/>
          <w:highlight w:val="white"/>
        </w:rPr>
        <w:t xml:space="preserve"> de faire </w:t>
      </w:r>
      <w:proofErr w:type="spellStart"/>
      <w:r>
        <w:rPr>
          <w:rFonts w:ascii="Calibri" w:eastAsia="Calibri" w:hAnsi="Calibri" w:cs="Calibri"/>
          <w:color w:val="1F1F1F"/>
          <w:sz w:val="20"/>
          <w:szCs w:val="20"/>
          <w:highlight w:val="white"/>
        </w:rPr>
        <w:t>avancer</w:t>
      </w:r>
      <w:proofErr w:type="spellEnd"/>
      <w:r>
        <w:rPr>
          <w:rFonts w:ascii="Calibri" w:eastAsia="Calibri" w:hAnsi="Calibri" w:cs="Calibri"/>
          <w:color w:val="1F1F1F"/>
          <w:sz w:val="20"/>
          <w:szCs w:val="20"/>
          <w:highlight w:val="white"/>
        </w:rPr>
        <w:t xml:space="preserve"> la </w:t>
      </w:r>
      <w:proofErr w:type="spellStart"/>
      <w:r>
        <w:rPr>
          <w:rFonts w:ascii="Calibri" w:eastAsia="Calibri" w:hAnsi="Calibri" w:cs="Calibri"/>
          <w:color w:val="1F1F1F"/>
          <w:sz w:val="20"/>
          <w:szCs w:val="20"/>
          <w:highlight w:val="white"/>
        </w:rPr>
        <w:t>recherche</w:t>
      </w:r>
      <w:proofErr w:type="spellEnd"/>
      <w:r>
        <w:rPr>
          <w:rFonts w:ascii="Calibri" w:eastAsia="Calibri" w:hAnsi="Calibri" w:cs="Calibri"/>
          <w:color w:val="1F1F1F"/>
          <w:sz w:val="20"/>
          <w:szCs w:val="20"/>
          <w:highlight w:val="white"/>
        </w:rPr>
        <w:t xml:space="preserve"> sur </w:t>
      </w:r>
      <w:proofErr w:type="spellStart"/>
      <w:r>
        <w:rPr>
          <w:rFonts w:ascii="Calibri" w:eastAsia="Calibri" w:hAnsi="Calibri" w:cs="Calibri"/>
          <w:color w:val="1F1F1F"/>
          <w:sz w:val="20"/>
          <w:szCs w:val="20"/>
          <w:highlight w:val="white"/>
        </w:rPr>
        <w:t>l'autisme</w:t>
      </w:r>
      <w:proofErr w:type="spellEnd"/>
      <w:r>
        <w:rPr>
          <w:rFonts w:ascii="Calibri" w:eastAsia="Calibri" w:hAnsi="Calibri" w:cs="Calibri"/>
          <w:color w:val="1F1F1F"/>
          <w:sz w:val="20"/>
          <w:szCs w:val="20"/>
          <w:highlight w:val="white"/>
        </w:rPr>
        <w:t>"</w:t>
      </w:r>
      <w:r>
        <w:rPr>
          <w:rFonts w:ascii="Calibri" w:eastAsia="Calibri" w:hAnsi="Calibri" w:cs="Calibri"/>
          <w:sz w:val="20"/>
          <w:szCs w:val="20"/>
          <w:highlight w:val="white"/>
        </w:rPr>
        <w:t>,</w:t>
      </w:r>
      <w:r>
        <w:rPr>
          <w:rFonts w:ascii="Calibri" w:eastAsia="Calibri" w:hAnsi="Calibri" w:cs="Calibri"/>
          <w:color w:val="1F1F1F"/>
          <w:sz w:val="20"/>
          <w:szCs w:val="20"/>
          <w:highlight w:val="white"/>
        </w:rPr>
        <w:t xml:space="preserve"> </w:t>
      </w:r>
      <w:r>
        <w:rPr>
          <w:rFonts w:ascii="Calibri" w:eastAsia="Calibri" w:hAnsi="Calibri" w:cs="Calibri"/>
          <w:i/>
          <w:iCs/>
          <w:color w:val="1F1F1F"/>
          <w:sz w:val="20"/>
          <w:szCs w:val="20"/>
          <w:highlight w:val="white"/>
        </w:rPr>
        <w:t xml:space="preserve">La </w:t>
      </w:r>
      <w:proofErr w:type="spellStart"/>
      <w:r>
        <w:rPr>
          <w:rFonts w:ascii="Calibri" w:eastAsia="Calibri" w:hAnsi="Calibri" w:cs="Calibri"/>
          <w:i/>
          <w:iCs/>
          <w:color w:val="1F1F1F"/>
          <w:sz w:val="20"/>
          <w:szCs w:val="20"/>
          <w:highlight w:val="white"/>
        </w:rPr>
        <w:t>célibataire</w:t>
      </w:r>
      <w:proofErr w:type="spellEnd"/>
      <w:r>
        <w:rPr>
          <w:rFonts w:ascii="Calibri" w:eastAsia="Calibri" w:hAnsi="Calibri" w:cs="Calibri"/>
          <w:color w:val="1F1F1F"/>
          <w:sz w:val="20"/>
          <w:szCs w:val="20"/>
          <w:highlight w:val="white"/>
        </w:rPr>
        <w:t>, n.º 4 (2000): 67–78.</w:t>
      </w:r>
    </w:p>
    <w:p w14:paraId="23A5A204" w14:textId="7052CF37" w:rsidR="00B73C16" w:rsidRDefault="00B73C16" w:rsidP="00B73C16">
      <w:pPr>
        <w:spacing w:line="240" w:lineRule="auto"/>
        <w:jc w:val="both"/>
        <w:rPr>
          <w:rFonts w:ascii="Calibri" w:eastAsia="Calibri" w:hAnsi="Calibri" w:cs="Calibri"/>
          <w:color w:val="1F1F1F"/>
          <w:sz w:val="20"/>
          <w:szCs w:val="20"/>
        </w:rPr>
      </w:pPr>
      <w:r>
        <w:rPr>
          <w:rFonts w:ascii="Calibri" w:eastAsia="Calibri" w:hAnsi="Calibri" w:cs="Calibri"/>
          <w:color w:val="1F1F1F"/>
          <w:sz w:val="20"/>
          <w:szCs w:val="20"/>
        </w:rPr>
        <w:t>La traducción del  presente capítulo fue supervisada por Ver</w:t>
      </w:r>
      <w:r w:rsidR="00E4023C">
        <w:rPr>
          <w:rFonts w:ascii="Calibri" w:eastAsia="Calibri" w:hAnsi="Calibri" w:cs="Calibri"/>
          <w:color w:val="1F1F1F"/>
          <w:sz w:val="20"/>
          <w:szCs w:val="20"/>
        </w:rPr>
        <w:t>ó</w:t>
      </w:r>
      <w:r>
        <w:rPr>
          <w:rFonts w:ascii="Calibri" w:eastAsia="Calibri" w:hAnsi="Calibri" w:cs="Calibri"/>
          <w:color w:val="1F1F1F"/>
          <w:sz w:val="20"/>
          <w:szCs w:val="20"/>
        </w:rPr>
        <w:t xml:space="preserve">nica Cascante. </w:t>
      </w:r>
      <w:r>
        <w:rPr>
          <w:rFonts w:ascii="Calibri" w:eastAsia="Calibri" w:hAnsi="Calibri" w:cs="Calibri"/>
          <w:sz w:val="20"/>
          <w:szCs w:val="20"/>
        </w:rPr>
        <w:t>(N. del T.)</w:t>
      </w:r>
    </w:p>
    <w:p w14:paraId="24453804" w14:textId="77777777" w:rsidR="00B73C16" w:rsidRDefault="00B73C16" w:rsidP="00B73C16">
      <w:pPr>
        <w:spacing w:line="240" w:lineRule="auto"/>
        <w:jc w:val="both"/>
        <w:rPr>
          <w:rFonts w:ascii="Calibri" w:eastAsia="Calibri" w:hAnsi="Calibri" w:cs="Calibri"/>
          <w:sz w:val="20"/>
          <w:szCs w:val="20"/>
        </w:rPr>
      </w:pPr>
    </w:p>
  </w:footnote>
  <w:footnote w:id="2">
    <w:p w14:paraId="0E82ACA6" w14:textId="77777777" w:rsidR="00B73C16" w:rsidRDefault="00B73C16" w:rsidP="00B73C16">
      <w:pPr>
        <w:spacing w:after="160"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Acá hay que rendirle homenaje a la excepción que constituye la escuela de Psicoanálisis de </w:t>
      </w:r>
      <w:proofErr w:type="spellStart"/>
      <w:r>
        <w:rPr>
          <w:rFonts w:ascii="Calibri" w:eastAsia="Calibri" w:hAnsi="Calibri" w:cs="Calibri"/>
          <w:sz w:val="20"/>
          <w:szCs w:val="20"/>
        </w:rPr>
        <w:t>Sainte</w:t>
      </w:r>
      <w:proofErr w:type="spellEnd"/>
      <w:r>
        <w:rPr>
          <w:rFonts w:ascii="Calibri" w:eastAsia="Calibri" w:hAnsi="Calibri" w:cs="Calibri"/>
          <w:sz w:val="20"/>
          <w:szCs w:val="20"/>
        </w:rPr>
        <w:t xml:space="preserve"> Anne en su trabajo de formación de los psiquiatras provenientes de diversos países del mundo.</w:t>
      </w:r>
    </w:p>
  </w:footnote>
  <w:footnote w:id="3">
    <w:p w14:paraId="462622D0" w14:textId="77777777" w:rsidR="00B73C16" w:rsidRDefault="00B73C16" w:rsidP="00B73C16">
      <w:pPr>
        <w:spacing w:after="160"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Expresión propuesta por </w:t>
      </w:r>
      <w:proofErr w:type="spellStart"/>
      <w:r>
        <w:rPr>
          <w:rFonts w:ascii="Calibri" w:eastAsia="Calibri" w:hAnsi="Calibri" w:cs="Calibri"/>
          <w:sz w:val="20"/>
          <w:szCs w:val="20"/>
        </w:rPr>
        <w:t>Bergès</w:t>
      </w:r>
      <w:proofErr w:type="spellEnd"/>
      <w:r>
        <w:rPr>
          <w:rFonts w:ascii="Calibri" w:eastAsia="Calibri" w:hAnsi="Calibri" w:cs="Calibri"/>
          <w:sz w:val="20"/>
          <w:szCs w:val="20"/>
        </w:rPr>
        <w:t>.</w:t>
      </w:r>
    </w:p>
  </w:footnote>
  <w:footnote w:id="4">
    <w:p w14:paraId="40125C7B" w14:textId="77777777" w:rsidR="00B73C16" w:rsidRDefault="00B73C16" w:rsidP="00B73C16">
      <w:pPr>
        <w:spacing w:after="160"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Lo que supone que ese primer fracaso tendría lugar antes de la constitución de la estructura.</w:t>
      </w:r>
    </w:p>
  </w:footnote>
  <w:footnote w:id="5">
    <w:p w14:paraId="1B72A923" w14:textId="77777777" w:rsidR="00B73C16" w:rsidRDefault="00B73C16" w:rsidP="00B73C16">
      <w:pPr>
        <w:spacing w:after="160"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Esos videos fueron filmados por los padres que deseaban guardar un registro de los primeros meses de vida de su bebé y no imaginaban entonces que su niño presentaría una patología. </w:t>
      </w:r>
    </w:p>
  </w:footnote>
  <w:footnote w:id="6">
    <w:p w14:paraId="18CF5E03" w14:textId="77777777" w:rsidR="00B73C16" w:rsidRDefault="00B73C16" w:rsidP="00B73C16">
      <w:pPr>
        <w:spacing w:after="160"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La causa no me parece únicamente la dimensión imaginaria de los modelos </w:t>
      </w:r>
      <w:proofErr w:type="spellStart"/>
      <w:r>
        <w:rPr>
          <w:rFonts w:ascii="Calibri" w:eastAsia="Calibri" w:hAnsi="Calibri" w:cs="Calibri"/>
          <w:sz w:val="20"/>
          <w:szCs w:val="20"/>
        </w:rPr>
        <w:t>kleinianos</w:t>
      </w:r>
      <w:proofErr w:type="spellEnd"/>
      <w:r>
        <w:rPr>
          <w:rFonts w:ascii="Calibri" w:eastAsia="Calibri" w:hAnsi="Calibri" w:cs="Calibri"/>
          <w:sz w:val="20"/>
          <w:szCs w:val="20"/>
        </w:rPr>
        <w:t xml:space="preserve"> sino también el acento puesto en los fantasmas intrapsíquicos, incluso en el bebé.</w:t>
      </w:r>
    </w:p>
  </w:footnote>
  <w:footnote w:id="7">
    <w:p w14:paraId="665658B4" w14:textId="77777777" w:rsidR="00B73C16" w:rsidRDefault="00B73C16" w:rsidP="00B73C16">
      <w:pPr>
        <w:spacing w:after="160"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Se trata de un sector muy particular del cognitivismo que trata esta patología.</w:t>
      </w:r>
    </w:p>
  </w:footnote>
  <w:footnote w:id="8">
    <w:p w14:paraId="1995D366" w14:textId="77777777" w:rsidR="00B73C16" w:rsidRDefault="00B73C16" w:rsidP="00B73C16">
      <w:pPr>
        <w:spacing w:after="160"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Esta investigación está llevada a cabo por la Asociación </w:t>
      </w:r>
      <w:proofErr w:type="spellStart"/>
      <w:r>
        <w:rPr>
          <w:rFonts w:ascii="Calibri" w:eastAsia="Calibri" w:hAnsi="Calibri" w:cs="Calibri"/>
          <w:sz w:val="20"/>
          <w:szCs w:val="20"/>
        </w:rPr>
        <w:t>Préaut</w:t>
      </w:r>
      <w:proofErr w:type="spellEnd"/>
      <w:r>
        <w:rPr>
          <w:rFonts w:ascii="Calibri" w:eastAsia="Calibri" w:hAnsi="Calibri" w:cs="Calibri"/>
          <w:sz w:val="20"/>
          <w:szCs w:val="20"/>
        </w:rPr>
        <w:t>.</w:t>
      </w:r>
    </w:p>
  </w:footnote>
  <w:footnote w:id="9">
    <w:p w14:paraId="23DBBA03" w14:textId="77777777" w:rsidR="00B73C16" w:rsidRDefault="00B73C16" w:rsidP="00B73C16">
      <w:pPr>
        <w:spacing w:after="160"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Pequeño otro que va a tener el lugar de Otro primordial para él.</w:t>
      </w:r>
    </w:p>
  </w:footnote>
  <w:footnote w:id="10">
    <w:p w14:paraId="3F7BC348" w14:textId="77777777" w:rsidR="00B73C16" w:rsidRDefault="00B73C16" w:rsidP="00B73C16">
      <w:pPr>
        <w:spacing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Jacques Lacan, </w:t>
      </w:r>
      <w:r>
        <w:rPr>
          <w:rFonts w:ascii="Calibri" w:eastAsia="Calibri" w:hAnsi="Calibri" w:cs="Calibri"/>
          <w:i/>
          <w:iCs/>
          <w:sz w:val="20"/>
          <w:szCs w:val="20"/>
        </w:rPr>
        <w:t>El Seminario, Libro XI: Los cuatro conceptos fundamentales del psicoanálisis</w:t>
      </w:r>
      <w:r>
        <w:rPr>
          <w:rFonts w:ascii="Calibri" w:eastAsia="Calibri" w:hAnsi="Calibri" w:cs="Calibri"/>
          <w:sz w:val="20"/>
          <w:szCs w:val="20"/>
        </w:rPr>
        <w:t xml:space="preserve"> (París: </w:t>
      </w:r>
      <w:proofErr w:type="spellStart"/>
      <w:r>
        <w:rPr>
          <w:rFonts w:ascii="Calibri" w:eastAsia="Calibri" w:hAnsi="Calibri" w:cs="Calibri"/>
          <w:sz w:val="20"/>
          <w:szCs w:val="20"/>
        </w:rPr>
        <w:t>Éditions</w:t>
      </w:r>
      <w:proofErr w:type="spellEnd"/>
      <w:r>
        <w:rPr>
          <w:rFonts w:ascii="Calibri" w:eastAsia="Calibri" w:hAnsi="Calibri" w:cs="Calibri"/>
          <w:sz w:val="20"/>
          <w:szCs w:val="20"/>
        </w:rPr>
        <w:t xml:space="preserve"> du Seuil, 1973).</w:t>
      </w:r>
    </w:p>
    <w:p w14:paraId="09FF71DC" w14:textId="77777777" w:rsidR="00B73C16" w:rsidRDefault="00B73C16" w:rsidP="00B73C16">
      <w:pPr>
        <w:spacing w:line="240" w:lineRule="auto"/>
        <w:jc w:val="both"/>
        <w:rPr>
          <w:rFonts w:ascii="Calibri" w:eastAsia="Calibri" w:hAnsi="Calibri" w:cs="Calibri"/>
          <w:sz w:val="20"/>
          <w:szCs w:val="20"/>
        </w:rPr>
      </w:pPr>
    </w:p>
  </w:footnote>
  <w:footnote w:id="11">
    <w:p w14:paraId="27BFAA17" w14:textId="77777777" w:rsidR="00B73C16" w:rsidRDefault="00B73C16" w:rsidP="00B73C16">
      <w:pPr>
        <w:spacing w:after="160"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Incluso si en un futuro factores de vulnerabilidad genética pudieran encontrarse, no cambia en nada el rol del analista en su trabajo de instalar (o reinstalar) ese lazo.</w:t>
      </w:r>
    </w:p>
  </w:footnote>
  <w:footnote w:id="12">
    <w:p w14:paraId="7EECEB6D" w14:textId="77777777" w:rsidR="00B73C16" w:rsidRDefault="00B73C16" w:rsidP="00B73C16">
      <w:pPr>
        <w:spacing w:after="160"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En la investigación </w:t>
      </w:r>
      <w:proofErr w:type="spellStart"/>
      <w:r>
        <w:rPr>
          <w:rFonts w:ascii="Calibri" w:eastAsia="Calibri" w:hAnsi="Calibri" w:cs="Calibri"/>
          <w:sz w:val="20"/>
          <w:szCs w:val="20"/>
        </w:rPr>
        <w:t>Préaut</w:t>
      </w:r>
      <w:proofErr w:type="spellEnd"/>
      <w:r>
        <w:rPr>
          <w:rFonts w:ascii="Calibri" w:eastAsia="Calibri" w:hAnsi="Calibri" w:cs="Calibri"/>
          <w:sz w:val="20"/>
          <w:szCs w:val="20"/>
        </w:rPr>
        <w:t xml:space="preserve"> en la formación de los médicos tiene como objetivo principal evitar efectos iatrogénicos.</w:t>
      </w:r>
    </w:p>
  </w:footnote>
  <w:footnote w:id="13">
    <w:p w14:paraId="6210A1D7" w14:textId="77777777" w:rsidR="00B73C16" w:rsidRDefault="00B73C16" w:rsidP="00B73C16">
      <w:pPr>
        <w:spacing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Agregada por Lacan.</w:t>
      </w:r>
    </w:p>
  </w:footnote>
  <w:footnote w:id="14">
    <w:p w14:paraId="331DAF04" w14:textId="77777777" w:rsidR="00B73C16" w:rsidRDefault="00B73C16" w:rsidP="00B73C16">
      <w:pPr>
        <w:spacing w:after="160" w:line="240" w:lineRule="auto"/>
        <w:jc w:val="both"/>
        <w:rPr>
          <w:rFonts w:ascii="Calibri" w:eastAsia="Calibri" w:hAnsi="Calibri" w:cs="Calibri"/>
          <w:i/>
          <w:iCs/>
          <w:sz w:val="20"/>
          <w:szCs w:val="20"/>
        </w:rPr>
      </w:pPr>
      <w:r>
        <w:rPr>
          <w:vertAlign w:val="superscript"/>
        </w:rPr>
        <w:footnoteRef/>
      </w:r>
      <w:r>
        <w:rPr>
          <w:rFonts w:ascii="Calibri" w:eastAsia="Calibri" w:hAnsi="Calibri" w:cs="Calibri"/>
          <w:sz w:val="20"/>
          <w:szCs w:val="20"/>
        </w:rPr>
        <w:t xml:space="preserve"> Avances nuevos con respecto al texto freudiano y en donde Lacan había dejado en </w:t>
      </w:r>
      <w:r>
        <w:rPr>
          <w:rFonts w:ascii="Calibri" w:eastAsia="Calibri" w:hAnsi="Calibri" w:cs="Calibri"/>
          <w:i/>
          <w:iCs/>
          <w:sz w:val="20"/>
          <w:szCs w:val="20"/>
        </w:rPr>
        <w:t>El Seminario, Libro VII: La ética del psicoanálisis</w:t>
      </w:r>
      <w:r>
        <w:rPr>
          <w:rFonts w:ascii="Calibri" w:eastAsia="Calibri" w:hAnsi="Calibri" w:cs="Calibri"/>
          <w:sz w:val="20"/>
          <w:szCs w:val="20"/>
        </w:rPr>
        <w:t xml:space="preserve"> (1959‑1960).</w:t>
      </w:r>
    </w:p>
  </w:footnote>
  <w:footnote w:id="15">
    <w:p w14:paraId="14CFF43D" w14:textId="77777777" w:rsidR="00B73C16" w:rsidRDefault="00B73C16" w:rsidP="00B73C16">
      <w:pPr>
        <w:spacing w:after="160"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Esta diferenciación con la obra freudiana, que hizo Lacan, sólo existe en el psicoanálisis francés. Su desconocimiento podría dar cuenta de la ceguera de autores de los países anglosajones en cuanto al interés por el concepto de pulsión en la clínica de las patologías precoces. </w:t>
      </w:r>
    </w:p>
  </w:footnote>
  <w:footnote w:id="16">
    <w:p w14:paraId="08D97C17" w14:textId="77777777" w:rsidR="00B73C16" w:rsidRDefault="00B73C16" w:rsidP="00B73C16">
      <w:pPr>
        <w:spacing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Jacques Lacan, </w:t>
      </w:r>
      <w:r>
        <w:rPr>
          <w:rFonts w:ascii="Calibri" w:eastAsia="Calibri" w:hAnsi="Calibri" w:cs="Calibri"/>
          <w:i/>
          <w:iCs/>
          <w:sz w:val="20"/>
          <w:szCs w:val="20"/>
        </w:rPr>
        <w:t>El Seminario: Libro XI, Los cuatro conceptos fundamentales del psicoanálisis</w:t>
      </w:r>
      <w:r>
        <w:rPr>
          <w:rFonts w:ascii="Calibri" w:eastAsia="Calibri" w:hAnsi="Calibri" w:cs="Calibri"/>
          <w:sz w:val="20"/>
          <w:szCs w:val="20"/>
        </w:rPr>
        <w:t xml:space="preserve"> (París: </w:t>
      </w:r>
      <w:proofErr w:type="spellStart"/>
      <w:r>
        <w:rPr>
          <w:rFonts w:ascii="Calibri" w:eastAsia="Calibri" w:hAnsi="Calibri" w:cs="Calibri"/>
          <w:sz w:val="20"/>
          <w:szCs w:val="20"/>
        </w:rPr>
        <w:t>Éditions</w:t>
      </w:r>
      <w:proofErr w:type="spellEnd"/>
      <w:r>
        <w:rPr>
          <w:rFonts w:ascii="Calibri" w:eastAsia="Calibri" w:hAnsi="Calibri" w:cs="Calibri"/>
          <w:sz w:val="20"/>
          <w:szCs w:val="20"/>
        </w:rPr>
        <w:t xml:space="preserve"> du Seuil, 1973), 198. Incluso Lacan, él mismo, no sacó consecuencias de esta afirmación que implica una revisión completa de la teoría del apuntalamiento.</w:t>
      </w:r>
    </w:p>
    <w:p w14:paraId="1A7A2D1D" w14:textId="77777777" w:rsidR="00B73C16" w:rsidRDefault="00B73C16" w:rsidP="00B73C16">
      <w:pPr>
        <w:spacing w:line="240" w:lineRule="auto"/>
        <w:jc w:val="both"/>
        <w:rPr>
          <w:rFonts w:ascii="Calibri" w:eastAsia="Calibri" w:hAnsi="Calibri" w:cs="Calibri"/>
          <w:sz w:val="20"/>
          <w:szCs w:val="20"/>
        </w:rPr>
      </w:pPr>
    </w:p>
  </w:footnote>
  <w:footnote w:id="17">
    <w:p w14:paraId="5C217232" w14:textId="77777777" w:rsidR="00B73C16" w:rsidRDefault="00B73C16" w:rsidP="00B73C16">
      <w:pPr>
        <w:spacing w:after="160"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La pulsión no es entonces un concepto límite entre lo psíquico y lo somático sino un concepto que articula el significante y el cuerpo, que no es el organismo.</w:t>
      </w:r>
    </w:p>
  </w:footnote>
  <w:footnote w:id="18">
    <w:p w14:paraId="0A26DF01" w14:textId="77777777" w:rsidR="00B73C16" w:rsidRDefault="00B73C16" w:rsidP="00B73C16">
      <w:pPr>
        <w:spacing w:after="160"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No se trata del “sujeto del inconsciente”, concepto forjado por Lacan.</w:t>
      </w:r>
    </w:p>
  </w:footnote>
  <w:footnote w:id="19">
    <w:p w14:paraId="1045DFFD" w14:textId="77777777" w:rsidR="00B73C16" w:rsidRDefault="00B73C16" w:rsidP="00B73C16">
      <w:pPr>
        <w:spacing w:after="160"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Lacan atribuye a este sujeto el carácter de primero a advenir, porque antes de que se cierre este bucle, la pulsión “se manifiesta sobre el modo de un sujeto acéfalo” (p. 165). </w:t>
      </w:r>
    </w:p>
  </w:footnote>
  <w:footnote w:id="20">
    <w:p w14:paraId="63AEB058" w14:textId="77777777" w:rsidR="00B73C16" w:rsidRDefault="00B73C16" w:rsidP="00B73C16">
      <w:pPr>
        <w:spacing w:after="160"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Lo que devendrá en “hacerse chupar” en la vida erótica adulta.</w:t>
      </w:r>
    </w:p>
  </w:footnote>
  <w:footnote w:id="21">
    <w:p w14:paraId="3FB00C17" w14:textId="77777777" w:rsidR="00B73C16" w:rsidRDefault="00B73C16" w:rsidP="00B73C16">
      <w:pPr>
        <w:spacing w:after="160"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Le debemos a Lacan el concepto de goce y la identificación de sus variantes (goce fálico, goce otro...).</w:t>
      </w:r>
    </w:p>
  </w:footnote>
  <w:footnote w:id="22">
    <w:p w14:paraId="5FCCAC50" w14:textId="77777777" w:rsidR="00B73C16" w:rsidRDefault="00B73C16" w:rsidP="00B73C16">
      <w:pPr>
        <w:spacing w:after="160"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Lo que corresponde a los dos pisos del grafo del deseo: abajo a la derecha, el Otro, lugar del tesoro de los significantes, y, arriba a la izquierda, el significante del goce del Otro. S (A tachado).</w:t>
      </w:r>
    </w:p>
  </w:footnote>
  <w:footnote w:id="23">
    <w:p w14:paraId="49FB70B9" w14:textId="77777777" w:rsidR="00B73C16" w:rsidRDefault="00B73C16" w:rsidP="00B73C16">
      <w:pPr>
        <w:spacing w:after="160" w:line="240" w:lineRule="auto"/>
        <w:jc w:val="both"/>
        <w:rPr>
          <w:rFonts w:ascii="Calibri" w:eastAsia="Calibri" w:hAnsi="Calibri" w:cs="Calibri"/>
          <w:i/>
          <w:iCs/>
          <w:sz w:val="20"/>
          <w:szCs w:val="20"/>
        </w:rPr>
      </w:pPr>
      <w:r>
        <w:rPr>
          <w:vertAlign w:val="superscript"/>
        </w:rPr>
        <w:footnoteRef/>
      </w:r>
      <w:r>
        <w:rPr>
          <w:rFonts w:ascii="Calibri" w:eastAsia="Calibri" w:hAnsi="Calibri" w:cs="Calibri"/>
          <w:sz w:val="20"/>
          <w:szCs w:val="20"/>
        </w:rPr>
        <w:t xml:space="preserve"> Vuelve a hablar en </w:t>
      </w:r>
      <w:r>
        <w:rPr>
          <w:rFonts w:ascii="Calibri" w:eastAsia="Calibri" w:hAnsi="Calibri" w:cs="Calibri"/>
          <w:i/>
          <w:iCs/>
          <w:sz w:val="20"/>
          <w:szCs w:val="20"/>
        </w:rPr>
        <w:t>El Seminario, Libro X: La angustia</w:t>
      </w:r>
      <w:r>
        <w:rPr>
          <w:rFonts w:ascii="Calibri" w:eastAsia="Calibri" w:hAnsi="Calibri" w:cs="Calibri"/>
          <w:sz w:val="20"/>
          <w:szCs w:val="20"/>
        </w:rPr>
        <w:t>.</w:t>
      </w:r>
    </w:p>
  </w:footnote>
  <w:footnote w:id="24">
    <w:p w14:paraId="4E20461E" w14:textId="77777777" w:rsidR="00B73C16" w:rsidRDefault="00B73C16" w:rsidP="00B73C16">
      <w:pPr>
        <w:spacing w:after="160"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El manuscrito de </w:t>
      </w:r>
      <w:r>
        <w:rPr>
          <w:rFonts w:ascii="Calibri" w:eastAsia="Calibri" w:hAnsi="Calibri" w:cs="Calibri"/>
          <w:i/>
          <w:iCs/>
          <w:sz w:val="20"/>
          <w:szCs w:val="20"/>
        </w:rPr>
        <w:t>Proyecto de una psicología para neurólogos</w:t>
      </w:r>
      <w:r>
        <w:rPr>
          <w:rFonts w:ascii="Calibri" w:eastAsia="Calibri" w:hAnsi="Calibri" w:cs="Calibri"/>
          <w:sz w:val="20"/>
          <w:szCs w:val="20"/>
        </w:rPr>
        <w:t xml:space="preserve"> (1956), incluido en </w:t>
      </w:r>
      <w:r>
        <w:rPr>
          <w:rFonts w:ascii="Calibri" w:eastAsia="Calibri" w:hAnsi="Calibri" w:cs="Calibri"/>
          <w:i/>
          <w:iCs/>
          <w:sz w:val="20"/>
          <w:szCs w:val="20"/>
        </w:rPr>
        <w:t>El nacimiento del psicoanálisis</w:t>
      </w:r>
      <w:r>
        <w:rPr>
          <w:rFonts w:ascii="Calibri" w:eastAsia="Calibri" w:hAnsi="Calibri" w:cs="Calibri"/>
          <w:sz w:val="20"/>
          <w:szCs w:val="20"/>
        </w:rPr>
        <w:t>, no había sido publicado en vida del autor.</w:t>
      </w:r>
    </w:p>
  </w:footnote>
  <w:footnote w:id="25">
    <w:p w14:paraId="472ECFBB" w14:textId="77777777" w:rsidR="00B73C16" w:rsidRDefault="00B73C16" w:rsidP="00B73C16">
      <w:pPr>
        <w:spacing w:after="160"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Cherif </w:t>
      </w:r>
      <w:proofErr w:type="spellStart"/>
      <w:r>
        <w:rPr>
          <w:rFonts w:ascii="Calibri" w:eastAsia="Calibri" w:hAnsi="Calibri" w:cs="Calibri"/>
          <w:sz w:val="20"/>
          <w:szCs w:val="20"/>
        </w:rPr>
        <w:t>Idrissi</w:t>
      </w:r>
      <w:proofErr w:type="spellEnd"/>
      <w:r>
        <w:rPr>
          <w:rFonts w:ascii="Calibri" w:eastAsia="Calibri" w:hAnsi="Calibri" w:cs="Calibri"/>
          <w:sz w:val="20"/>
          <w:szCs w:val="20"/>
        </w:rPr>
        <w:t xml:space="preserve"> el </w:t>
      </w:r>
      <w:proofErr w:type="spellStart"/>
      <w:r>
        <w:rPr>
          <w:rFonts w:ascii="Calibri" w:eastAsia="Calibri" w:hAnsi="Calibri" w:cs="Calibri"/>
          <w:sz w:val="20"/>
          <w:szCs w:val="20"/>
        </w:rPr>
        <w:t>Ganouni</w:t>
      </w:r>
      <w:proofErr w:type="spellEnd"/>
      <w:r>
        <w:rPr>
          <w:rFonts w:ascii="Calibri" w:eastAsia="Calibri" w:hAnsi="Calibri" w:cs="Calibri"/>
          <w:sz w:val="20"/>
          <w:szCs w:val="20"/>
        </w:rPr>
        <w:t>, “</w:t>
      </w:r>
      <w:proofErr w:type="spellStart"/>
      <w:r>
        <w:rPr>
          <w:rFonts w:ascii="Calibri" w:eastAsia="Calibri" w:hAnsi="Calibri" w:cs="Calibri"/>
          <w:sz w:val="20"/>
          <w:szCs w:val="20"/>
        </w:rPr>
        <w:t>L’affaire</w:t>
      </w:r>
      <w:proofErr w:type="spellEnd"/>
      <w:r>
        <w:rPr>
          <w:rFonts w:ascii="Calibri" w:eastAsia="Calibri" w:hAnsi="Calibri" w:cs="Calibri"/>
          <w:sz w:val="20"/>
          <w:szCs w:val="20"/>
        </w:rPr>
        <w:t xml:space="preserve"> </w:t>
      </w:r>
      <w:proofErr w:type="spellStart"/>
      <w:r>
        <w:rPr>
          <w:rFonts w:ascii="Calibri" w:eastAsia="Calibri" w:hAnsi="Calibri" w:cs="Calibri"/>
          <w:sz w:val="20"/>
          <w:szCs w:val="20"/>
        </w:rPr>
        <w:t>Sokal</w:t>
      </w:r>
      <w:proofErr w:type="spellEnd"/>
      <w:r>
        <w:rPr>
          <w:rFonts w:ascii="Calibri" w:eastAsia="Calibri" w:hAnsi="Calibri" w:cs="Calibri"/>
          <w:sz w:val="20"/>
          <w:szCs w:val="20"/>
        </w:rPr>
        <w:t xml:space="preserve">”, en </w:t>
      </w:r>
      <w:r>
        <w:rPr>
          <w:rFonts w:ascii="Calibri" w:eastAsia="Calibri" w:hAnsi="Calibri" w:cs="Calibri"/>
          <w:i/>
          <w:iCs/>
          <w:sz w:val="20"/>
          <w:szCs w:val="20"/>
        </w:rPr>
        <w:t>Las matemáticas impertinentes de Lacan</w:t>
      </w:r>
      <w:r>
        <w:rPr>
          <w:rFonts w:ascii="Calibri" w:eastAsia="Calibri" w:hAnsi="Calibri" w:cs="Calibri"/>
          <w:sz w:val="20"/>
          <w:szCs w:val="20"/>
        </w:rPr>
        <w:t xml:space="preserve">, </w:t>
      </w:r>
      <w:proofErr w:type="spellStart"/>
      <w:r>
        <w:rPr>
          <w:rFonts w:ascii="Calibri" w:eastAsia="Calibri" w:hAnsi="Calibri" w:cs="Calibri"/>
          <w:sz w:val="20"/>
          <w:szCs w:val="20"/>
        </w:rPr>
        <w:t>Cahiers</w:t>
      </w:r>
      <w:proofErr w:type="spellEnd"/>
      <w:r>
        <w:rPr>
          <w:rFonts w:ascii="Calibri" w:eastAsia="Calibri" w:hAnsi="Calibri" w:cs="Calibri"/>
          <w:sz w:val="20"/>
          <w:szCs w:val="20"/>
        </w:rPr>
        <w:t xml:space="preserve"> </w:t>
      </w:r>
      <w:proofErr w:type="spellStart"/>
      <w:r>
        <w:rPr>
          <w:rFonts w:ascii="Calibri" w:eastAsia="Calibri" w:hAnsi="Calibri" w:cs="Calibri"/>
          <w:sz w:val="20"/>
          <w:szCs w:val="20"/>
        </w:rPr>
        <w:t>de l</w:t>
      </w:r>
      <w:proofErr w:type="spellEnd"/>
      <w:r>
        <w:rPr>
          <w:rFonts w:ascii="Calibri" w:eastAsia="Calibri" w:hAnsi="Calibri" w:cs="Calibri"/>
          <w:sz w:val="20"/>
          <w:szCs w:val="20"/>
        </w:rPr>
        <w:t xml:space="preserve">’A.F.I. (París: </w:t>
      </w:r>
      <w:proofErr w:type="spellStart"/>
      <w:r>
        <w:rPr>
          <w:rFonts w:ascii="Calibri" w:eastAsia="Calibri" w:hAnsi="Calibri" w:cs="Calibri"/>
          <w:sz w:val="20"/>
          <w:szCs w:val="20"/>
        </w:rPr>
        <w:t>Association</w:t>
      </w:r>
      <w:proofErr w:type="spellEnd"/>
      <w:r>
        <w:rPr>
          <w:rFonts w:ascii="Calibri" w:eastAsia="Calibri" w:hAnsi="Calibri" w:cs="Calibri"/>
          <w:sz w:val="20"/>
          <w:szCs w:val="20"/>
        </w:rPr>
        <w:t xml:space="preserve"> </w:t>
      </w:r>
      <w:proofErr w:type="spellStart"/>
      <w:r>
        <w:rPr>
          <w:rFonts w:ascii="Calibri" w:eastAsia="Calibri" w:hAnsi="Calibri" w:cs="Calibri"/>
          <w:sz w:val="20"/>
          <w:szCs w:val="20"/>
        </w:rPr>
        <w:t>Freudienne</w:t>
      </w:r>
      <w:proofErr w:type="spellEnd"/>
      <w:r>
        <w:rPr>
          <w:rFonts w:ascii="Calibri" w:eastAsia="Calibri" w:hAnsi="Calibri" w:cs="Calibri"/>
          <w:sz w:val="20"/>
          <w:szCs w:val="20"/>
        </w:rPr>
        <w:t xml:space="preserve"> </w:t>
      </w:r>
      <w:proofErr w:type="spellStart"/>
      <w:r>
        <w:rPr>
          <w:rFonts w:ascii="Calibri" w:eastAsia="Calibri" w:hAnsi="Calibri" w:cs="Calibri"/>
          <w:sz w:val="20"/>
          <w:szCs w:val="20"/>
        </w:rPr>
        <w:t>Internationale</w:t>
      </w:r>
      <w:proofErr w:type="spellEnd"/>
      <w:r>
        <w:rPr>
          <w:rFonts w:ascii="Calibri" w:eastAsia="Calibri" w:hAnsi="Calibri" w:cs="Calibri"/>
          <w:sz w:val="20"/>
          <w:szCs w:val="20"/>
        </w:rPr>
        <w:t xml:space="preserve">, 1998), 53–62. </w:t>
      </w:r>
    </w:p>
  </w:footnote>
  <w:footnote w:id="26">
    <w:p w14:paraId="69E402D0" w14:textId="77777777" w:rsidR="00B73C16" w:rsidRDefault="00B73C16" w:rsidP="00B73C16">
      <w:pPr>
        <w:spacing w:line="240" w:lineRule="auto"/>
        <w:jc w:val="both"/>
        <w:rPr>
          <w:rFonts w:ascii="Calibri" w:eastAsia="Calibri" w:hAnsi="Calibri" w:cs="Calibri"/>
          <w:sz w:val="20"/>
          <w:szCs w:val="20"/>
          <w:highlight w:val="yellow"/>
        </w:rPr>
      </w:pPr>
      <w:r>
        <w:rPr>
          <w:vertAlign w:val="superscript"/>
        </w:rPr>
        <w:footnoteRef/>
      </w:r>
      <w:r>
        <w:rPr>
          <w:rFonts w:ascii="Calibri" w:eastAsia="Calibri" w:hAnsi="Calibri" w:cs="Calibri"/>
          <w:sz w:val="20"/>
          <w:szCs w:val="20"/>
        </w:rPr>
        <w:t xml:space="preserve"> Entre otros, en </w:t>
      </w:r>
      <w:r>
        <w:rPr>
          <w:rFonts w:ascii="Calibri" w:eastAsia="Calibri" w:hAnsi="Calibri" w:cs="Calibri"/>
          <w:i/>
          <w:iCs/>
          <w:sz w:val="20"/>
          <w:szCs w:val="20"/>
        </w:rPr>
        <w:t>El Seminario, Libro VII: La ética del psicoanálisis</w:t>
      </w:r>
      <w:r>
        <w:rPr>
          <w:rFonts w:ascii="Calibri" w:eastAsia="Calibri" w:hAnsi="Calibri" w:cs="Calibri"/>
          <w:sz w:val="20"/>
          <w:szCs w:val="20"/>
        </w:rPr>
        <w:t xml:space="preserve"> y en </w:t>
      </w:r>
      <w:r>
        <w:rPr>
          <w:rFonts w:ascii="Calibri" w:eastAsia="Calibri" w:hAnsi="Calibri" w:cs="Calibri"/>
          <w:i/>
          <w:iCs/>
          <w:sz w:val="20"/>
          <w:szCs w:val="20"/>
        </w:rPr>
        <w:t>El Seminario, Libro XI: Los cuatro conceptos fundamentales del psicoanálisis</w:t>
      </w:r>
      <w:r>
        <w:rPr>
          <w:rFonts w:ascii="Calibri" w:eastAsia="Calibri" w:hAnsi="Calibri" w:cs="Calibri"/>
          <w:sz w:val="20"/>
          <w:szCs w:val="20"/>
        </w:rPr>
        <w:t>.</w:t>
      </w:r>
    </w:p>
  </w:footnote>
  <w:footnote w:id="27">
    <w:p w14:paraId="6B4CC325" w14:textId="77777777" w:rsidR="00B73C16" w:rsidRDefault="00B73C16" w:rsidP="00B73C16">
      <w:pPr>
        <w:spacing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Lacan las llama “las coordenadas de placer del </w:t>
      </w:r>
      <w:proofErr w:type="spellStart"/>
      <w:r>
        <w:rPr>
          <w:rFonts w:ascii="Calibri" w:eastAsia="Calibri" w:hAnsi="Calibri" w:cs="Calibri"/>
          <w:i/>
          <w:iCs/>
          <w:sz w:val="20"/>
          <w:szCs w:val="20"/>
        </w:rPr>
        <w:t>Nebenmensch</w:t>
      </w:r>
      <w:proofErr w:type="spellEnd"/>
      <w:r>
        <w:rPr>
          <w:rFonts w:ascii="Calibri" w:eastAsia="Calibri" w:hAnsi="Calibri" w:cs="Calibri"/>
          <w:i/>
          <w:iCs/>
          <w:sz w:val="20"/>
          <w:szCs w:val="20"/>
        </w:rPr>
        <w:t>”</w:t>
      </w:r>
      <w:r>
        <w:rPr>
          <w:rFonts w:ascii="Calibri" w:eastAsia="Calibri" w:hAnsi="Calibri" w:cs="Calibri"/>
          <w:sz w:val="20"/>
          <w:szCs w:val="20"/>
        </w:rPr>
        <w:t>.</w:t>
      </w:r>
    </w:p>
  </w:footnote>
  <w:footnote w:id="28">
    <w:p w14:paraId="7AE75D9F" w14:textId="77777777" w:rsidR="00B73C16" w:rsidRDefault="00B73C16" w:rsidP="00B73C16">
      <w:pPr>
        <w:spacing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Jacques Lacan, </w:t>
      </w:r>
      <w:r>
        <w:rPr>
          <w:rFonts w:ascii="Calibri" w:eastAsia="Calibri" w:hAnsi="Calibri" w:cs="Calibri"/>
          <w:i/>
          <w:iCs/>
          <w:sz w:val="20"/>
          <w:szCs w:val="20"/>
        </w:rPr>
        <w:t>El Seminario, Libro VII: La ética del psicoanálisis</w:t>
      </w:r>
      <w:r>
        <w:rPr>
          <w:rFonts w:ascii="Calibri" w:eastAsia="Calibri" w:hAnsi="Calibri" w:cs="Calibri"/>
          <w:sz w:val="20"/>
          <w:szCs w:val="20"/>
        </w:rPr>
        <w:t xml:space="preserve"> (París: </w:t>
      </w:r>
      <w:proofErr w:type="spellStart"/>
      <w:r>
        <w:rPr>
          <w:rFonts w:ascii="Calibri" w:eastAsia="Calibri" w:hAnsi="Calibri" w:cs="Calibri"/>
          <w:sz w:val="20"/>
          <w:szCs w:val="20"/>
        </w:rPr>
        <w:t>Éditions</w:t>
      </w:r>
      <w:proofErr w:type="spellEnd"/>
      <w:r>
        <w:rPr>
          <w:rFonts w:ascii="Calibri" w:eastAsia="Calibri" w:hAnsi="Calibri" w:cs="Calibri"/>
          <w:sz w:val="20"/>
          <w:szCs w:val="20"/>
        </w:rPr>
        <w:t xml:space="preserve"> du Seuil, 1986), 66.</w:t>
      </w:r>
    </w:p>
  </w:footnote>
  <w:footnote w:id="29">
    <w:p w14:paraId="18FF8E48" w14:textId="77777777" w:rsidR="00B73C16" w:rsidRDefault="00B73C16" w:rsidP="00B73C16">
      <w:pPr>
        <w:spacing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Esta investigación fue replicada en distintos países que confirmaron estos datos.</w:t>
      </w:r>
    </w:p>
  </w:footnote>
  <w:footnote w:id="30">
    <w:p w14:paraId="1F021AD4" w14:textId="77777777" w:rsidR="00B73C16" w:rsidRDefault="00B73C16" w:rsidP="00B73C16">
      <w:pPr>
        <w:spacing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Porque, para el bebé, es necesario que ese Otro se haga presente bajo la forma de un otro de carne y hueso.</w:t>
      </w:r>
    </w:p>
  </w:footnote>
  <w:footnote w:id="31">
    <w:p w14:paraId="2ECBF31C" w14:textId="77777777" w:rsidR="00B73C16" w:rsidRDefault="00B73C16" w:rsidP="00B73C16">
      <w:pPr>
        <w:spacing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Véase Marie-Christine </w:t>
      </w:r>
      <w:proofErr w:type="spellStart"/>
      <w:r>
        <w:rPr>
          <w:rFonts w:ascii="Calibri" w:eastAsia="Calibri" w:hAnsi="Calibri" w:cs="Calibri"/>
          <w:sz w:val="20"/>
          <w:szCs w:val="20"/>
        </w:rPr>
        <w:t>Laznik</w:t>
      </w:r>
      <w:proofErr w:type="spellEnd"/>
      <w:r>
        <w:rPr>
          <w:rFonts w:ascii="Calibri" w:eastAsia="Calibri" w:hAnsi="Calibri" w:cs="Calibri"/>
          <w:sz w:val="20"/>
          <w:szCs w:val="20"/>
        </w:rPr>
        <w:t xml:space="preserve">, </w:t>
      </w:r>
      <w:r>
        <w:rPr>
          <w:rFonts w:ascii="Calibri" w:eastAsia="Calibri" w:hAnsi="Calibri" w:cs="Calibri"/>
          <w:i/>
          <w:iCs/>
          <w:sz w:val="20"/>
          <w:szCs w:val="20"/>
        </w:rPr>
        <w:t>Hacia el habla. Tres niños autistas en Psicoanálisis</w:t>
      </w:r>
      <w:r>
        <w:rPr>
          <w:rFonts w:ascii="Calibri" w:eastAsia="Calibri" w:hAnsi="Calibri" w:cs="Calibri"/>
          <w:sz w:val="20"/>
          <w:szCs w:val="20"/>
        </w:rPr>
        <w:t xml:space="preserve"> (Buenos Aires: Nueva Visión, 1997).</w:t>
      </w:r>
    </w:p>
  </w:footnote>
  <w:footnote w:id="32">
    <w:p w14:paraId="613A4692" w14:textId="77777777" w:rsidR="00B73C16" w:rsidRDefault="00B73C16" w:rsidP="00B73C16">
      <w:pPr>
        <w:spacing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Siguiendo el Grafo del Deseo, leemos que la fuerza que anima al bebé pasa por S (A tachado), que Lacan escribe “goce del Otro”.</w:t>
      </w:r>
    </w:p>
  </w:footnote>
  <w:footnote w:id="33">
    <w:p w14:paraId="13B2413C" w14:textId="77777777" w:rsidR="00B73C16" w:rsidRDefault="00B73C16" w:rsidP="00B73C16">
      <w:pPr>
        <w:spacing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Podrá establecerse en el transcurso de un tratamiento psicoterapéutico.</w:t>
      </w:r>
    </w:p>
  </w:footnote>
  <w:footnote w:id="34">
    <w:p w14:paraId="387D4761" w14:textId="77777777" w:rsidR="00B73C16" w:rsidRDefault="00B73C16" w:rsidP="00B73C16">
      <w:pPr>
        <w:spacing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“Ella hace la hipótesis de un sujeto en él”, dicen Balbo </w:t>
      </w:r>
      <w:proofErr w:type="gramStart"/>
      <w:r>
        <w:rPr>
          <w:rFonts w:ascii="Calibri" w:eastAsia="Calibri" w:hAnsi="Calibri" w:cs="Calibri"/>
          <w:sz w:val="20"/>
          <w:szCs w:val="20"/>
        </w:rPr>
        <w:t xml:space="preserve">y  </w:t>
      </w:r>
      <w:proofErr w:type="spellStart"/>
      <w:r>
        <w:rPr>
          <w:rFonts w:ascii="Calibri" w:eastAsia="Calibri" w:hAnsi="Calibri" w:cs="Calibri"/>
          <w:sz w:val="20"/>
          <w:szCs w:val="20"/>
        </w:rPr>
        <w:t>Bergès</w:t>
      </w:r>
      <w:proofErr w:type="spellEnd"/>
      <w:proofErr w:type="gramEnd"/>
      <w:r>
        <w:rPr>
          <w:rFonts w:ascii="Calibri" w:eastAsia="Calibri" w:hAnsi="Calibri" w:cs="Calibri"/>
          <w:sz w:val="20"/>
          <w:szCs w:val="20"/>
        </w:rPr>
        <w:t>.</w:t>
      </w:r>
    </w:p>
  </w:footnote>
  <w:footnote w:id="35">
    <w:p w14:paraId="39283100" w14:textId="77777777" w:rsidR="00B73C16" w:rsidRDefault="00B73C16" w:rsidP="00B73C16">
      <w:pPr>
        <w:spacing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Una madre muy extrovertida podría incluso escuchar “mi querida mamá”.</w:t>
      </w:r>
    </w:p>
  </w:footnote>
  <w:footnote w:id="36">
    <w:p w14:paraId="55ECA1E5" w14:textId="77777777" w:rsidR="00B73C16" w:rsidRDefault="00B73C16" w:rsidP="00B73C16">
      <w:pPr>
        <w:spacing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Ellos lo sitúan entre 8 y 12 semanas.</w:t>
      </w:r>
    </w:p>
  </w:footnote>
  <w:footnote w:id="37">
    <w:p w14:paraId="720BA04F" w14:textId="77777777" w:rsidR="00B73C16" w:rsidRDefault="00B73C16" w:rsidP="00B73C16">
      <w:pPr>
        <w:spacing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A condición de que estas invocaciones maternas no hablen de las actividades de </w:t>
      </w:r>
      <w:proofErr w:type="spellStart"/>
      <w:r>
        <w:rPr>
          <w:rFonts w:ascii="Calibri" w:eastAsia="Calibri" w:hAnsi="Calibri" w:cs="Calibri"/>
          <w:sz w:val="20"/>
          <w:szCs w:val="20"/>
        </w:rPr>
        <w:t>maternaje</w:t>
      </w:r>
      <w:proofErr w:type="spellEnd"/>
      <w:r>
        <w:rPr>
          <w:rFonts w:ascii="Calibri" w:eastAsia="Calibri" w:hAnsi="Calibri" w:cs="Calibri"/>
          <w:sz w:val="20"/>
          <w:szCs w:val="20"/>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C16"/>
    <w:rsid w:val="008B4837"/>
    <w:rsid w:val="00B73C16"/>
    <w:rsid w:val="00E4023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3F0B1"/>
  <w15:chartTrackingRefBased/>
  <w15:docId w15:val="{244C1EDD-58B9-4C8F-AA0F-549AE778C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3C16"/>
    <w:pPr>
      <w:spacing w:after="0" w:line="276" w:lineRule="auto"/>
    </w:pPr>
    <w:rPr>
      <w:rFonts w:ascii="Arial" w:eastAsia="Arial" w:hAnsi="Arial" w:cs="Arial"/>
      <w:lang w:val="e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4573</Words>
  <Characters>25153</Characters>
  <Application>Microsoft Office Word</Application>
  <DocSecurity>0</DocSecurity>
  <Lines>209</Lines>
  <Paragraphs>59</Paragraphs>
  <ScaleCrop>false</ScaleCrop>
  <Company/>
  <LinksUpToDate>false</LinksUpToDate>
  <CharactersWithSpaces>29667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Gerardo Miño Dávila</dc:creator>
  <cp:keywords/>
  <dc:description/>
  <cp:lastModifiedBy>Gerardo Miño Dávila</cp:lastModifiedBy>
  <cp:revision>2</cp:revision>
  <dcterms:created xsi:type="dcterms:W3CDTF">2026-06-18T18:40:00Z</dcterms:created>
  <dcterms:modified xsi:type="dcterms:W3CDTF">2026-06-24T21:28:00Z</dcterms:modified>
</cp:coreProperties>
</file>